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79E59A" w14:textId="77777777" w:rsidR="00396F9D" w:rsidRPr="002A124D" w:rsidRDefault="00396F9D" w:rsidP="00396F9D">
      <w:pPr>
        <w:pStyle w:val="Corpotesto"/>
        <w:jc w:val="center"/>
        <w:rPr>
          <w:rFonts w:ascii="Palatino Linotype" w:hAnsi="Palatino Linotype"/>
          <w:bCs/>
          <w:szCs w:val="24"/>
        </w:rPr>
      </w:pPr>
      <w:r w:rsidRPr="002A124D">
        <w:rPr>
          <w:rFonts w:ascii="Palatino Linotype" w:hAnsi="Palatino Linotype"/>
          <w:bCs/>
          <w:szCs w:val="24"/>
        </w:rPr>
        <w:t>SEZIONE 3 ORGANIZZAZIONE E CAPITALE UMANO</w:t>
      </w:r>
    </w:p>
    <w:p w14:paraId="686A0E4C" w14:textId="77777777" w:rsidR="00396F9D" w:rsidRPr="002A124D" w:rsidRDefault="00396F9D" w:rsidP="00396F9D">
      <w:pPr>
        <w:pStyle w:val="Corpotesto"/>
        <w:rPr>
          <w:rFonts w:ascii="Palatino Linotype" w:hAnsi="Palatino Linotype"/>
          <w:bCs/>
          <w:szCs w:val="24"/>
        </w:rPr>
      </w:pPr>
    </w:p>
    <w:p w14:paraId="47B37325" w14:textId="77777777" w:rsidR="00396F9D" w:rsidRPr="002A124D" w:rsidRDefault="00396F9D" w:rsidP="00396F9D">
      <w:pPr>
        <w:pStyle w:val="Corpotesto"/>
        <w:jc w:val="center"/>
        <w:rPr>
          <w:rFonts w:ascii="Palatino Linotype" w:hAnsi="Palatino Linotype"/>
          <w:bCs/>
          <w:i/>
          <w:szCs w:val="24"/>
        </w:rPr>
      </w:pPr>
      <w:r w:rsidRPr="002A124D">
        <w:rPr>
          <w:rFonts w:ascii="Palatino Linotype" w:hAnsi="Palatino Linotype"/>
          <w:bCs/>
          <w:i/>
          <w:szCs w:val="24"/>
        </w:rPr>
        <w:t>3.1 STRUTTURA ORGANIZZATIVA</w:t>
      </w:r>
    </w:p>
    <w:p w14:paraId="4A551DBE" w14:textId="77777777" w:rsidR="00396F9D" w:rsidRDefault="00396F9D" w:rsidP="00396F9D">
      <w:pPr>
        <w:pStyle w:val="Corpotesto"/>
        <w:jc w:val="both"/>
        <w:rPr>
          <w:rFonts w:ascii="Palatino Linotype" w:hAnsi="Palatino Linotype"/>
          <w:bCs/>
          <w:szCs w:val="24"/>
        </w:rPr>
      </w:pPr>
      <w:r w:rsidRPr="002A124D">
        <w:rPr>
          <w:rFonts w:ascii="Palatino Linotype" w:hAnsi="Palatino Linotype"/>
          <w:bCs/>
          <w:szCs w:val="24"/>
        </w:rPr>
        <w:t xml:space="preserve">L’organizzazione dell’Unione si articola in: Aree, Servizi ed uffici. L’area è strutturata per l’esercizio di attività omogenee e a rilevante complessità organizzativa con riferimento ai servizi forniti, alle competenze richieste, alle prestazioni assicurate e alla tipologia di domanda servita. Le aree dispongono delle competenze amministrative, tecniche, finanziarie necessarie per il raggiungimento dei risultati. </w:t>
      </w:r>
    </w:p>
    <w:p w14:paraId="3E62F0EB" w14:textId="77777777" w:rsidR="00396F9D" w:rsidRPr="002A124D" w:rsidRDefault="00396F9D" w:rsidP="00396F9D">
      <w:pPr>
        <w:pStyle w:val="Corpotesto"/>
        <w:jc w:val="both"/>
        <w:rPr>
          <w:rFonts w:ascii="Palatino Linotype" w:hAnsi="Palatino Linotype"/>
          <w:bCs/>
          <w:szCs w:val="24"/>
        </w:rPr>
      </w:pPr>
      <w:r>
        <w:rPr>
          <w:rFonts w:ascii="Palatino Linotype" w:hAnsi="Palatino Linotype"/>
          <w:bCs/>
          <w:szCs w:val="24"/>
        </w:rPr>
        <w:t>A seguito del recesso dall’Unione del comune di Borgo Priolo con decorrenza 1 gennaio2026 è in corso la ridefinizione della struttura dell’Ente, pertanto le aree potrebbero essere soggette a riorganizzazione oggetto di nuovo aggiornamento di questo strumento di programmazione.</w:t>
      </w:r>
    </w:p>
    <w:p w14:paraId="74C13A9D" w14:textId="77777777" w:rsidR="00396F9D" w:rsidRPr="00312587" w:rsidRDefault="00396F9D" w:rsidP="00396F9D">
      <w:pPr>
        <w:pStyle w:val="Corpotesto"/>
        <w:jc w:val="both"/>
        <w:rPr>
          <w:rFonts w:ascii="Palatino Linotype" w:hAnsi="Palatino Linotype"/>
          <w:bCs/>
          <w:szCs w:val="24"/>
        </w:rPr>
      </w:pPr>
      <w:r w:rsidRPr="00312587">
        <w:rPr>
          <w:rFonts w:ascii="Palatino Linotype" w:hAnsi="Palatino Linotype"/>
          <w:bCs/>
          <w:szCs w:val="24"/>
        </w:rPr>
        <w:t xml:space="preserve">Esse sono le seguenti: </w:t>
      </w:r>
    </w:p>
    <w:p w14:paraId="33F291AC" w14:textId="77777777" w:rsidR="00396F9D" w:rsidRPr="002D1701" w:rsidRDefault="00396F9D" w:rsidP="00396F9D">
      <w:pPr>
        <w:pStyle w:val="Corpotesto"/>
        <w:numPr>
          <w:ilvl w:val="0"/>
          <w:numId w:val="1"/>
        </w:numPr>
        <w:jc w:val="both"/>
        <w:rPr>
          <w:rFonts w:ascii="Palatino Linotype" w:hAnsi="Palatino Linotype"/>
          <w:bCs/>
          <w:szCs w:val="24"/>
        </w:rPr>
      </w:pPr>
      <w:r w:rsidRPr="002D1701">
        <w:rPr>
          <w:rFonts w:ascii="Palatino Linotype" w:hAnsi="Palatino Linotype"/>
          <w:bCs/>
          <w:szCs w:val="24"/>
        </w:rPr>
        <w:t>Finanziario;</w:t>
      </w:r>
    </w:p>
    <w:p w14:paraId="7BCB380A" w14:textId="77777777" w:rsidR="00396F9D" w:rsidRPr="002D1701" w:rsidRDefault="00396F9D" w:rsidP="00396F9D">
      <w:pPr>
        <w:pStyle w:val="Corpotesto"/>
        <w:numPr>
          <w:ilvl w:val="0"/>
          <w:numId w:val="1"/>
        </w:numPr>
        <w:jc w:val="both"/>
        <w:rPr>
          <w:rFonts w:ascii="Palatino Linotype" w:hAnsi="Palatino Linotype"/>
          <w:bCs/>
          <w:szCs w:val="24"/>
        </w:rPr>
      </w:pPr>
      <w:r w:rsidRPr="002D1701">
        <w:rPr>
          <w:rFonts w:ascii="Palatino Linotype" w:hAnsi="Palatino Linotype"/>
          <w:bCs/>
          <w:szCs w:val="24"/>
        </w:rPr>
        <w:t>Vigilanza, tributi, demografici, giovani, cultura e attività sociali;</w:t>
      </w:r>
    </w:p>
    <w:p w14:paraId="3E31DF8E" w14:textId="77777777" w:rsidR="00396F9D" w:rsidRPr="002D1701" w:rsidRDefault="00396F9D" w:rsidP="00396F9D">
      <w:pPr>
        <w:pStyle w:val="Corpotesto"/>
        <w:numPr>
          <w:ilvl w:val="0"/>
          <w:numId w:val="1"/>
        </w:numPr>
        <w:jc w:val="both"/>
        <w:rPr>
          <w:rFonts w:ascii="Palatino Linotype" w:hAnsi="Palatino Linotype"/>
          <w:bCs/>
          <w:szCs w:val="24"/>
        </w:rPr>
      </w:pPr>
      <w:r w:rsidRPr="002D1701">
        <w:rPr>
          <w:rFonts w:ascii="Palatino Linotype" w:hAnsi="Palatino Linotype"/>
          <w:bCs/>
          <w:szCs w:val="24"/>
        </w:rPr>
        <w:t>Tecnico LLPP;</w:t>
      </w:r>
    </w:p>
    <w:p w14:paraId="1A5A113F" w14:textId="77777777" w:rsidR="00396F9D" w:rsidRPr="002D1701" w:rsidRDefault="00396F9D" w:rsidP="00396F9D">
      <w:pPr>
        <w:pStyle w:val="Corpotesto"/>
        <w:numPr>
          <w:ilvl w:val="0"/>
          <w:numId w:val="1"/>
        </w:numPr>
        <w:jc w:val="both"/>
        <w:rPr>
          <w:rFonts w:ascii="Palatino Linotype" w:hAnsi="Palatino Linotype"/>
          <w:bCs/>
          <w:szCs w:val="24"/>
        </w:rPr>
      </w:pPr>
      <w:r w:rsidRPr="002D1701">
        <w:rPr>
          <w:rFonts w:ascii="Palatino Linotype" w:hAnsi="Palatino Linotype"/>
          <w:bCs/>
          <w:szCs w:val="24"/>
        </w:rPr>
        <w:t>Urbanistica</w:t>
      </w:r>
    </w:p>
    <w:p w14:paraId="0C545C61" w14:textId="77777777" w:rsidR="00396F9D" w:rsidRPr="002D1701" w:rsidRDefault="00396F9D" w:rsidP="00396F9D">
      <w:pPr>
        <w:pStyle w:val="Corpotesto"/>
        <w:numPr>
          <w:ilvl w:val="0"/>
          <w:numId w:val="1"/>
        </w:numPr>
        <w:jc w:val="both"/>
        <w:rPr>
          <w:rFonts w:ascii="Palatino Linotype" w:hAnsi="Palatino Linotype"/>
          <w:bCs/>
          <w:szCs w:val="24"/>
        </w:rPr>
      </w:pPr>
      <w:r w:rsidRPr="002D1701">
        <w:rPr>
          <w:rFonts w:ascii="Palatino Linotype" w:hAnsi="Palatino Linotype"/>
          <w:bCs/>
          <w:szCs w:val="24"/>
        </w:rPr>
        <w:t xml:space="preserve">Affari generali – organizzazione personale; </w:t>
      </w:r>
    </w:p>
    <w:p w14:paraId="1B68BB73" w14:textId="77777777" w:rsidR="00396F9D" w:rsidRPr="002A124D" w:rsidRDefault="00396F9D" w:rsidP="00396F9D">
      <w:pPr>
        <w:pStyle w:val="Corpotesto"/>
        <w:jc w:val="both"/>
        <w:rPr>
          <w:rFonts w:ascii="Palatino Linotype" w:hAnsi="Palatino Linotype"/>
          <w:bCs/>
          <w:szCs w:val="24"/>
        </w:rPr>
      </w:pPr>
    </w:p>
    <w:p w14:paraId="1BEBE5D3" w14:textId="77777777" w:rsidR="00396F9D" w:rsidRPr="002A124D" w:rsidRDefault="00396F9D" w:rsidP="00396F9D">
      <w:pPr>
        <w:pStyle w:val="Corpotesto"/>
        <w:jc w:val="both"/>
        <w:rPr>
          <w:rFonts w:ascii="Palatino Linotype" w:hAnsi="Palatino Linotype"/>
          <w:bCs/>
          <w:szCs w:val="24"/>
        </w:rPr>
      </w:pPr>
      <w:r w:rsidRPr="002A124D">
        <w:rPr>
          <w:rFonts w:ascii="Palatino Linotype" w:hAnsi="Palatino Linotype"/>
          <w:bCs/>
          <w:szCs w:val="24"/>
        </w:rPr>
        <w:t xml:space="preserve">Alla direzione delle aree è posta una posizione organizzativa. Ogni apicale assicura il raggiungimento degli obiettivi assegnati con la necessaria autonomia progettuale, operativa e gestionale, organizzando le risorse finanziarie, strumentali ed umane assegnate. </w:t>
      </w:r>
    </w:p>
    <w:p w14:paraId="43DC8839" w14:textId="77777777" w:rsidR="00396F9D" w:rsidRPr="002A124D" w:rsidRDefault="00396F9D" w:rsidP="00396F9D">
      <w:pPr>
        <w:pStyle w:val="Corpotesto"/>
        <w:jc w:val="both"/>
        <w:rPr>
          <w:rFonts w:ascii="Palatino Linotype" w:hAnsi="Palatino Linotype"/>
          <w:bCs/>
          <w:szCs w:val="24"/>
        </w:rPr>
      </w:pPr>
      <w:r w:rsidRPr="002A124D">
        <w:rPr>
          <w:rFonts w:ascii="Palatino Linotype" w:hAnsi="Palatino Linotype"/>
          <w:bCs/>
          <w:szCs w:val="24"/>
        </w:rPr>
        <w:t xml:space="preserve">Le Aree/Settori sono articolate in servizi ed uffici: il Servizio è struttura organizzativa di media complessità, caratterizzato da prodotti/servizi/processi identificabili, finalizzato alla realizzazione di obiettivi e prestazioni destinati ad una specifica funzione istituzionale. Esso, in generale, si delinea come Unità Organizzativa comprendente più unità operative elementari (Uffici) preposte allo svolgimento di funzioni/attività omogenee e correlate. </w:t>
      </w:r>
    </w:p>
    <w:p w14:paraId="7E62D1DD" w14:textId="77777777" w:rsidR="00396F9D" w:rsidRPr="002A124D" w:rsidRDefault="00396F9D" w:rsidP="00396F9D">
      <w:pPr>
        <w:spacing w:line="240" w:lineRule="auto"/>
        <w:jc w:val="center"/>
        <w:rPr>
          <w:rFonts w:ascii="Palatino Linotype" w:hAnsi="Palatino Linotype" w:cs="Times New Roman"/>
          <w:bCs/>
          <w:color w:val="3333FF"/>
          <w:sz w:val="24"/>
          <w:szCs w:val="24"/>
        </w:rPr>
      </w:pPr>
    </w:p>
    <w:p w14:paraId="3019FF5A" w14:textId="77777777" w:rsidR="00396F9D" w:rsidRPr="002A124D" w:rsidRDefault="00396F9D" w:rsidP="00396F9D">
      <w:pPr>
        <w:pStyle w:val="Corpotesto"/>
        <w:jc w:val="center"/>
        <w:rPr>
          <w:rFonts w:ascii="Palatino Linotype" w:hAnsi="Palatino Linotype"/>
          <w:bCs/>
          <w:i/>
          <w:szCs w:val="24"/>
        </w:rPr>
      </w:pPr>
      <w:r w:rsidRPr="002A124D">
        <w:rPr>
          <w:rFonts w:ascii="Palatino Linotype" w:hAnsi="Palatino Linotype"/>
          <w:bCs/>
          <w:i/>
          <w:szCs w:val="24"/>
        </w:rPr>
        <w:t xml:space="preserve">3.2 PIANO ORGANIZZATIVO DEL LAVORO AGILE (POLA) </w:t>
      </w:r>
    </w:p>
    <w:p w14:paraId="7065E11B" w14:textId="77777777" w:rsidR="00396F9D" w:rsidRPr="002A124D" w:rsidRDefault="00396F9D" w:rsidP="00396F9D">
      <w:pPr>
        <w:pStyle w:val="Corpotesto"/>
        <w:jc w:val="both"/>
        <w:rPr>
          <w:rFonts w:ascii="Palatino Linotype" w:hAnsi="Palatino Linotype"/>
          <w:bCs/>
          <w:szCs w:val="24"/>
        </w:rPr>
      </w:pPr>
      <w:r w:rsidRPr="002A124D">
        <w:rPr>
          <w:rFonts w:ascii="Palatino Linotype" w:hAnsi="Palatino Linotype"/>
          <w:bCs/>
          <w:szCs w:val="24"/>
        </w:rPr>
        <w:t xml:space="preserve">Il POLA è uno strumento previsto dall’art. 263 del decreto Rilancio (34/2020). Il provvedimento stabilisce che entro il 31 gennaio di ciascun anno le amministrazioni pubbliche debbano redigere, sentite le organizzazioni sindacali, il POLA (Piano organizzativo del lavoro agile). Il POLA individua le modalità attuative del lavoro agile prevedendo, per le attività che possono essere svolte in modalità agile, che almeno il 60% dei dipendenti possa avvalersene – percentuale ridotta poi al 15% dal Decreto legge 30 aprile 2021, n. 56 – e garantendo che gli stessi non subiscano penalizzazioni ai fini del riconoscimento di professionalità e della progressione di carriera. Definisce, altresì, le misure organizzative, i requisiti tecnologici, i percorsi formativi del personale, anche dirigenziale, e gli strumenti di rilevazione e di verifica periodica dei risultati conseguiti, anche in termini di miglioramento dell’efficacia e dell’efficienza dell’azione amministrativa, della digitalizzazione dei processi, nonché della qualità dei servizi erogati, anche coinvolgendo i cittadini, sia individualmente, sia nelle loro forme associative. </w:t>
      </w:r>
    </w:p>
    <w:p w14:paraId="0F79B89B" w14:textId="77777777" w:rsidR="00396F9D" w:rsidRPr="002A124D" w:rsidRDefault="00396F9D" w:rsidP="00396F9D">
      <w:pPr>
        <w:pStyle w:val="Corpotesto"/>
        <w:jc w:val="both"/>
        <w:rPr>
          <w:rFonts w:ascii="Palatino Linotype" w:hAnsi="Palatino Linotype"/>
          <w:bCs/>
          <w:szCs w:val="24"/>
        </w:rPr>
      </w:pPr>
      <w:r w:rsidRPr="002A124D">
        <w:rPr>
          <w:rFonts w:ascii="Palatino Linotype" w:hAnsi="Palatino Linotype"/>
          <w:bCs/>
          <w:szCs w:val="24"/>
        </w:rPr>
        <w:lastRenderedPageBreak/>
        <w:t xml:space="preserve">Come detto, il Decreto legge 30 aprile 2021, n. 56 confermava l’obbligo per le amministrazioni di adottare i POLA entro il 31 gennaio di ogni anno e veniva ridotta dal 60% al 15%, la quota minima dei dipendenti che poteva avvalersi dello </w:t>
      </w:r>
      <w:r w:rsidRPr="002A124D">
        <w:rPr>
          <w:rFonts w:ascii="Palatino Linotype" w:hAnsi="Palatino Linotype"/>
          <w:bCs/>
          <w:i/>
          <w:szCs w:val="24"/>
        </w:rPr>
        <w:t>smart working</w:t>
      </w:r>
      <w:r w:rsidRPr="002A124D">
        <w:rPr>
          <w:rFonts w:ascii="Palatino Linotype" w:hAnsi="Palatino Linotype"/>
          <w:bCs/>
          <w:szCs w:val="24"/>
        </w:rPr>
        <w:t xml:space="preserve"> (ovviamente rispetto alle attività che potevano essere svolte in modalità agile). In caso di mancata adozione del Pola, il lavoro agile sarebbe stato richiedibile da almeno il 15% del personale che ne facesse richiesta.</w:t>
      </w:r>
    </w:p>
    <w:p w14:paraId="4BABC615" w14:textId="77777777" w:rsidR="00396F9D" w:rsidRPr="002A124D" w:rsidRDefault="00396F9D" w:rsidP="00396F9D">
      <w:pPr>
        <w:pStyle w:val="Corpotesto"/>
        <w:jc w:val="both"/>
        <w:rPr>
          <w:rFonts w:ascii="Palatino Linotype" w:hAnsi="Palatino Linotype"/>
          <w:bCs/>
          <w:color w:val="auto"/>
          <w:szCs w:val="24"/>
        </w:rPr>
      </w:pPr>
      <w:r w:rsidRPr="002A124D">
        <w:rPr>
          <w:rFonts w:ascii="Palatino Linotype" w:hAnsi="Palatino Linotype"/>
          <w:bCs/>
          <w:color w:val="auto"/>
          <w:szCs w:val="24"/>
        </w:rPr>
        <w:t>Successivamente, a seguito dell’approvazione del Decreto-Legge 29 settembre 2023, n. 132, convertito dalla Legge 27 novembre 2023, n. 170, per i lavoratori dipendenti pubblici e privati affetti dalle patologie e condizioni individuate dal succitato decreto del Ministro della salute, il datore di lavoro poteva assicurare lo svolgimento della prestazione lavorativa in modalità agile anche attraverso l'adibizione a diversa mansione compresa nella medesima categoria o area di inquadramento, come definite dai contratti collettivi di lavoro vigenti, senza alcuna decurtazione della retribuzione in godimento fino al 31 dicembre 2023.</w:t>
      </w:r>
    </w:p>
    <w:p w14:paraId="17DB012D" w14:textId="77777777" w:rsidR="00396F9D" w:rsidRPr="002A124D" w:rsidRDefault="00396F9D" w:rsidP="00396F9D">
      <w:pPr>
        <w:pStyle w:val="Corpotesto"/>
        <w:jc w:val="both"/>
        <w:rPr>
          <w:rFonts w:ascii="Palatino Linotype" w:hAnsi="Palatino Linotype"/>
          <w:bCs/>
          <w:color w:val="auto"/>
          <w:szCs w:val="24"/>
        </w:rPr>
      </w:pPr>
      <w:r w:rsidRPr="002A124D">
        <w:rPr>
          <w:rFonts w:ascii="Palatino Linotype" w:hAnsi="Palatino Linotype"/>
          <w:bCs/>
          <w:color w:val="auto"/>
          <w:szCs w:val="24"/>
        </w:rPr>
        <w:t>Da ultimo, poi, il Decreto-Legge 18 ottobre 2023, n. 145, convertito dalla Legge 15 dicembre 2023, n. 191, ha prorogato al 31 marzo 2024 l’accesso prioritario dei fragili allo smart working, ma solo nel settore privato.</w:t>
      </w:r>
    </w:p>
    <w:p w14:paraId="47C8E441" w14:textId="77777777" w:rsidR="00396F9D" w:rsidRPr="002A124D" w:rsidRDefault="00396F9D" w:rsidP="00396F9D">
      <w:pPr>
        <w:pStyle w:val="Corpotesto"/>
        <w:rPr>
          <w:rFonts w:ascii="Palatino Linotype" w:hAnsi="Palatino Linotype"/>
          <w:bCs/>
          <w:szCs w:val="24"/>
        </w:rPr>
      </w:pPr>
    </w:p>
    <w:p w14:paraId="00E96157" w14:textId="77777777" w:rsidR="00396F9D" w:rsidRPr="002A124D" w:rsidRDefault="00396F9D" w:rsidP="00396F9D">
      <w:pPr>
        <w:pStyle w:val="Corpotesto"/>
        <w:jc w:val="center"/>
        <w:rPr>
          <w:rFonts w:ascii="Palatino Linotype" w:hAnsi="Palatino Linotype"/>
          <w:bCs/>
          <w:i/>
          <w:szCs w:val="24"/>
        </w:rPr>
      </w:pPr>
      <w:r w:rsidRPr="002A124D">
        <w:rPr>
          <w:rFonts w:ascii="Palatino Linotype" w:hAnsi="Palatino Linotype"/>
          <w:bCs/>
          <w:i/>
          <w:szCs w:val="24"/>
        </w:rPr>
        <w:t>3.3 PIANO TRIENNALE DEI FABBISOGNI DI PERSONALE</w:t>
      </w:r>
    </w:p>
    <w:p w14:paraId="10B9B604" w14:textId="77777777" w:rsidR="00CE31BE" w:rsidRPr="00CE31BE" w:rsidRDefault="00CE31BE" w:rsidP="00CE31BE">
      <w:pPr>
        <w:pStyle w:val="Corpotesto"/>
        <w:jc w:val="both"/>
        <w:rPr>
          <w:rFonts w:ascii="Palatino Linotype" w:hAnsi="Palatino Linotype"/>
          <w:bCs/>
          <w:iCs/>
          <w:szCs w:val="24"/>
        </w:rPr>
      </w:pPr>
      <w:r w:rsidRPr="00CE31BE">
        <w:rPr>
          <w:rFonts w:ascii="Palatino Linotype" w:hAnsi="Palatino Linotype"/>
          <w:bCs/>
          <w:iCs/>
          <w:szCs w:val="24"/>
        </w:rPr>
        <w:t xml:space="preserve">Il piano triennale del fabbisogno si inserisce a valle dell’attività di programmazione complessivamente intesa e, coerentemente ad essa, è finalizzato al miglioramento della qualità dei servizi offerti ai cittadini e alle imprese. </w:t>
      </w:r>
    </w:p>
    <w:p w14:paraId="3F887173" w14:textId="77777777" w:rsidR="00CE31BE" w:rsidRPr="00CE31BE" w:rsidRDefault="00CE31BE" w:rsidP="00CE31BE">
      <w:pPr>
        <w:pStyle w:val="Corpotesto"/>
        <w:jc w:val="both"/>
        <w:rPr>
          <w:rFonts w:ascii="Palatino Linotype" w:hAnsi="Palatino Linotype"/>
          <w:bCs/>
          <w:iCs/>
          <w:szCs w:val="24"/>
        </w:rPr>
      </w:pPr>
      <w:r w:rsidRPr="00CE31BE">
        <w:rPr>
          <w:rFonts w:ascii="Palatino Linotype" w:hAnsi="Palatino Linotype"/>
          <w:bCs/>
          <w:iCs/>
          <w:szCs w:val="24"/>
        </w:rPr>
        <w:t xml:space="preserve">Attraverso la giusta allocazione delle persone e delle relative competenze professionali che servono all’amministrazione si può ottimizzare l’impiego delle risorse pubbliche disponibili e si perseguono al meglio gli obiettivi di valore pubblico e di performance in termini di migliori servizi alla collettività. </w:t>
      </w:r>
    </w:p>
    <w:p w14:paraId="707512E1" w14:textId="77777777" w:rsidR="00CE31BE" w:rsidRPr="00CE31BE" w:rsidRDefault="00CE31BE" w:rsidP="00CE31BE">
      <w:pPr>
        <w:pStyle w:val="Corpotesto"/>
        <w:jc w:val="both"/>
        <w:rPr>
          <w:rFonts w:ascii="Palatino Linotype" w:hAnsi="Palatino Linotype"/>
          <w:bCs/>
          <w:iCs/>
          <w:szCs w:val="24"/>
        </w:rPr>
      </w:pPr>
      <w:r w:rsidRPr="00CE31BE">
        <w:rPr>
          <w:rFonts w:ascii="Palatino Linotype" w:hAnsi="Palatino Linotype"/>
          <w:bCs/>
          <w:iCs/>
          <w:szCs w:val="24"/>
        </w:rPr>
        <w:t xml:space="preserve">La programmazione e la definizione del proprio bisogno di risorse umane, in correlazione con i risultati da raggiungere, in termini di prodotti, servizi, nonché di cambiamento dei modelli organizzativi, permette di distribuire la capacità assunzionale in base alle priorità strategiche. </w:t>
      </w:r>
    </w:p>
    <w:p w14:paraId="5662343A" w14:textId="77777777" w:rsidR="00CE31BE" w:rsidRPr="00CE31BE" w:rsidRDefault="00CE31BE" w:rsidP="00CE31BE">
      <w:pPr>
        <w:pStyle w:val="Corpotesto"/>
        <w:jc w:val="both"/>
        <w:rPr>
          <w:rFonts w:ascii="Palatino Linotype" w:hAnsi="Palatino Linotype"/>
          <w:bCs/>
          <w:iCs/>
          <w:szCs w:val="24"/>
        </w:rPr>
      </w:pPr>
      <w:r w:rsidRPr="00CE31BE">
        <w:rPr>
          <w:rFonts w:ascii="Palatino Linotype" w:hAnsi="Palatino Linotype"/>
          <w:bCs/>
          <w:iCs/>
          <w:szCs w:val="24"/>
        </w:rPr>
        <w:t>In relazione, è dunque opportuno che le amministrazioni valutino le proprie azioni sulla base dei seguenti fattori:</w:t>
      </w:r>
    </w:p>
    <w:p w14:paraId="107A83E4" w14:textId="77777777" w:rsidR="00CE31BE" w:rsidRPr="00CE31BE" w:rsidRDefault="00CE31BE" w:rsidP="00CE31BE">
      <w:pPr>
        <w:pStyle w:val="Corpotesto"/>
        <w:jc w:val="both"/>
        <w:rPr>
          <w:rFonts w:ascii="Palatino Linotype" w:hAnsi="Palatino Linotype"/>
          <w:bCs/>
          <w:iCs/>
          <w:szCs w:val="24"/>
        </w:rPr>
      </w:pPr>
      <w:r w:rsidRPr="00CE31BE">
        <w:rPr>
          <w:rFonts w:ascii="Palatino Linotype" w:hAnsi="Palatino Linotype"/>
          <w:bCs/>
          <w:iCs/>
          <w:szCs w:val="24"/>
        </w:rPr>
        <w:t>- capacità assunzionale calcolata sulla base dei vigenti vincoli di spesa;</w:t>
      </w:r>
    </w:p>
    <w:p w14:paraId="47228E1B" w14:textId="77777777" w:rsidR="00CE31BE" w:rsidRPr="00CE31BE" w:rsidRDefault="00CE31BE" w:rsidP="00CE31BE">
      <w:pPr>
        <w:pStyle w:val="Corpotesto"/>
        <w:jc w:val="both"/>
        <w:rPr>
          <w:rFonts w:ascii="Palatino Linotype" w:hAnsi="Palatino Linotype"/>
          <w:bCs/>
          <w:iCs/>
          <w:szCs w:val="24"/>
        </w:rPr>
      </w:pPr>
      <w:r w:rsidRPr="00CE31BE">
        <w:rPr>
          <w:rFonts w:ascii="Palatino Linotype" w:hAnsi="Palatino Linotype"/>
          <w:bCs/>
          <w:iCs/>
          <w:szCs w:val="24"/>
        </w:rPr>
        <w:t>- stima del trend delle cessazioni, sulla base ad esempio dei pensionamenti;</w:t>
      </w:r>
    </w:p>
    <w:p w14:paraId="13B27834" w14:textId="77777777" w:rsidR="00CE31BE" w:rsidRPr="00CE31BE" w:rsidRDefault="00CE31BE" w:rsidP="00CE31BE">
      <w:pPr>
        <w:pStyle w:val="Corpotesto"/>
        <w:jc w:val="both"/>
        <w:rPr>
          <w:rFonts w:ascii="Palatino Linotype" w:hAnsi="Palatino Linotype"/>
          <w:bCs/>
          <w:iCs/>
          <w:szCs w:val="24"/>
        </w:rPr>
      </w:pPr>
      <w:r w:rsidRPr="00CE31BE">
        <w:rPr>
          <w:rFonts w:ascii="Palatino Linotype" w:hAnsi="Palatino Linotype"/>
          <w:bCs/>
          <w:iCs/>
          <w:szCs w:val="24"/>
        </w:rPr>
        <w:t>- stima dell’evoluzione dei bisogni, in funzione di scelte legate, ad esempio:</w:t>
      </w:r>
    </w:p>
    <w:p w14:paraId="40BA26ED" w14:textId="77777777" w:rsidR="00CE31BE" w:rsidRPr="00CE31BE" w:rsidRDefault="00CE31BE" w:rsidP="00CE31BE">
      <w:pPr>
        <w:pStyle w:val="Corpotesto"/>
        <w:jc w:val="both"/>
        <w:rPr>
          <w:rFonts w:ascii="Palatino Linotype" w:hAnsi="Palatino Linotype"/>
          <w:bCs/>
          <w:iCs/>
          <w:szCs w:val="24"/>
        </w:rPr>
      </w:pPr>
      <w:r w:rsidRPr="00CE31BE">
        <w:rPr>
          <w:rFonts w:ascii="Palatino Linotype" w:hAnsi="Palatino Linotype"/>
          <w:bCs/>
          <w:iCs/>
          <w:szCs w:val="24"/>
        </w:rPr>
        <w:t>a) alla digitalizzazione dei processi (riduzione del numero degli addetti e/o individuazione di addetti con competenze diversamente qualificate);</w:t>
      </w:r>
    </w:p>
    <w:p w14:paraId="4074293D" w14:textId="77777777" w:rsidR="00CE31BE" w:rsidRPr="00CE31BE" w:rsidRDefault="00CE31BE" w:rsidP="00CE31BE">
      <w:pPr>
        <w:pStyle w:val="Corpotesto"/>
        <w:jc w:val="both"/>
        <w:rPr>
          <w:rFonts w:ascii="Palatino Linotype" w:hAnsi="Palatino Linotype"/>
          <w:bCs/>
          <w:iCs/>
          <w:szCs w:val="24"/>
        </w:rPr>
      </w:pPr>
      <w:r w:rsidRPr="00CE31BE">
        <w:rPr>
          <w:rFonts w:ascii="Palatino Linotype" w:hAnsi="Palatino Linotype"/>
          <w:bCs/>
          <w:iCs/>
          <w:szCs w:val="24"/>
        </w:rPr>
        <w:t>b) alle esternalizzazioni/internalizzazioni o potenziamento/dismissione di servizi/attività/funzioni;</w:t>
      </w:r>
    </w:p>
    <w:p w14:paraId="14480446" w14:textId="435EEC84" w:rsidR="00396F9D" w:rsidRPr="002A124D" w:rsidRDefault="00CE31BE" w:rsidP="00CE31BE">
      <w:pPr>
        <w:pStyle w:val="Corpotesto"/>
        <w:jc w:val="both"/>
        <w:rPr>
          <w:rFonts w:ascii="Palatino Linotype" w:hAnsi="Palatino Linotype"/>
          <w:bCs/>
          <w:iCs/>
          <w:szCs w:val="24"/>
        </w:rPr>
      </w:pPr>
      <w:r w:rsidRPr="00CE31BE">
        <w:rPr>
          <w:rFonts w:ascii="Palatino Linotype" w:hAnsi="Palatino Linotype"/>
          <w:bCs/>
          <w:iCs/>
          <w:szCs w:val="24"/>
        </w:rPr>
        <w:t>c) ad altri fattori interni o esterni che richiedono una discontinuità nel profilo delle risorse umane in termini di profili di competenze e/o quantitativi.</w:t>
      </w:r>
    </w:p>
    <w:p w14:paraId="29D8B7B7" w14:textId="77777777" w:rsidR="00396F9D" w:rsidRPr="002A124D" w:rsidRDefault="00396F9D" w:rsidP="00396F9D">
      <w:pPr>
        <w:pStyle w:val="Corpotesto"/>
        <w:jc w:val="both"/>
        <w:rPr>
          <w:rFonts w:ascii="Palatino Linotype" w:hAnsi="Palatino Linotype"/>
          <w:bCs/>
          <w:szCs w:val="24"/>
        </w:rPr>
      </w:pPr>
      <w:r w:rsidRPr="002A124D">
        <w:rPr>
          <w:rFonts w:ascii="Palatino Linotype" w:hAnsi="Palatino Linotype"/>
          <w:bCs/>
          <w:szCs w:val="24"/>
        </w:rPr>
        <w:t>Vista la Deliberazione</w:t>
      </w:r>
      <w:r w:rsidRPr="002A124D">
        <w:rPr>
          <w:rFonts w:ascii="Palatino Linotype" w:hAnsi="Palatino Linotype"/>
        </w:rPr>
        <w:t xml:space="preserve"> </w:t>
      </w:r>
      <w:r w:rsidRPr="002A124D">
        <w:rPr>
          <w:rFonts w:ascii="Palatino Linotype" w:hAnsi="Palatino Linotype"/>
          <w:bCs/>
          <w:szCs w:val="24"/>
        </w:rPr>
        <w:t xml:space="preserve">N. 4/SEZAUT/2021/QMIG della Corte dei Conti, afferente </w:t>
      </w:r>
      <w:proofErr w:type="gramStart"/>
      <w:r w:rsidRPr="002A124D">
        <w:rPr>
          <w:rFonts w:ascii="Palatino Linotype" w:hAnsi="Palatino Linotype"/>
          <w:bCs/>
          <w:szCs w:val="24"/>
        </w:rPr>
        <w:t>l’individuazione</w:t>
      </w:r>
      <w:proofErr w:type="gramEnd"/>
      <w:r w:rsidRPr="002A124D">
        <w:rPr>
          <w:rFonts w:ascii="Palatino Linotype" w:hAnsi="Palatino Linotype"/>
          <w:bCs/>
          <w:szCs w:val="24"/>
        </w:rPr>
        <w:t xml:space="preserve"> della disciplina in materia di assunzioni del personale applicabile alle Unioni in ragione dell’intervenuta normativa di cui all’art. 33, co. 2, del decreto-legge 30 </w:t>
      </w:r>
      <w:r w:rsidRPr="002A124D">
        <w:rPr>
          <w:rFonts w:ascii="Palatino Linotype" w:hAnsi="Palatino Linotype"/>
          <w:bCs/>
          <w:szCs w:val="24"/>
        </w:rPr>
        <w:lastRenderedPageBreak/>
        <w:t xml:space="preserve">aprile 2019, n. 34, convertito dalla legge 28 giugno 2019, n. 58 e ss.mm. e ii. e dal decreto interministeriale del 17 marzo 2020. </w:t>
      </w:r>
    </w:p>
    <w:p w14:paraId="7A0CB4FE" w14:textId="77777777" w:rsidR="00396F9D" w:rsidRPr="002A124D" w:rsidRDefault="00396F9D" w:rsidP="00396F9D">
      <w:pPr>
        <w:pStyle w:val="Corpotesto"/>
        <w:jc w:val="both"/>
        <w:rPr>
          <w:rFonts w:ascii="Palatino Linotype" w:hAnsi="Palatino Linotype"/>
          <w:bCs/>
          <w:szCs w:val="24"/>
        </w:rPr>
      </w:pPr>
      <w:r w:rsidRPr="002A124D">
        <w:rPr>
          <w:rFonts w:ascii="Palatino Linotype" w:hAnsi="Palatino Linotype"/>
          <w:bCs/>
          <w:szCs w:val="24"/>
        </w:rPr>
        <w:t>Tale norma stabilisce che “a decorrere dalla data individuata dal decreto di cui al presente comma, anche per le finalità di cui al comma 1, i comuni possono procedere ad assunzioni di personale a tempo indeterminato in coerenza con i piani triennali dei fabbisogni di personale e fermo restando il rispetto pluriennale dell'equilibrio di bilancio asseverato dall'organo di revisione, sino ad una spesa complessiva per tutto il personale dipendente, al lordo degli oneri riflessi a carico dell'amministrazione, non superiore al valore soglia definito come percentuale, differenziata per fascia demografica, della media delle entrate correnti relative agli ultimi tre rendiconti approvati, considerate al netto del fondo crediti dubbia esigibilità stanziato in bilancio di previsione. Con decreto del Ministro della pubblica amministrazione, di concerto con il Ministro dell'economia e delle finanze e il Ministro dell'interno, previa intesa in sede di Conferenza Stato-città ed autonomie locali, entro sessanta giorni dalla data di entrata in vigore del presente decreto sono individuate le fasce demografiche, i relativi valori soglia prossimi al valore medio per fascia demografica e le relative percentuali massime annuali di incremento del personale in servizio per i comuni che si collocano al di sotto del valore soglia prossimo al valore medio, nonché un valore soglia superiore cui convergono i comuni con una spesa di personale eccedente la predetta soglia superiore. I comuni che registrano un rapporto compreso tra i due predetti valori soglia non possono incrementare il valore del predetto rapporto rispetto a quello corrispondente registrato nell'ultimo rendiconto della gestione approvato</w:t>
      </w:r>
      <w:r w:rsidRPr="002A124D">
        <w:rPr>
          <w:rFonts w:ascii="Palatino Linotype" w:hAnsi="Palatino Linotype"/>
          <w:bCs/>
          <w:i/>
          <w:iCs/>
          <w:szCs w:val="24"/>
        </w:rPr>
        <w:t>. I comuni con popolazione fino a 5.000 abitanti che si collocano al di sotto del valore soglia di cui al primo periodo, che fanno parte delle "unioni dei comuni" ai sensi dell'articolo 32 del testo unico di cui al decreto legislativo 18 agosto 2000, n. 267, al solo fine di consentire l'assunzione di almeno una unità possono incrementare la spesa di personale a tempo indeterminato oltre la predetta soglia di un valore non superiore a quello stabilito con decreto di cui al secondo periodo, collocando tali unità in comando presso le corrispondenti unioni con oneri a carico delle medesime, in deroga alle vigenti disposizioni in materia di contenimento della spesa di personale</w:t>
      </w:r>
      <w:r w:rsidRPr="002A124D">
        <w:rPr>
          <w:rFonts w:ascii="Palatino Linotype" w:hAnsi="Palatino Linotype"/>
          <w:bCs/>
          <w:szCs w:val="24"/>
        </w:rPr>
        <w:t xml:space="preserve">. </w:t>
      </w:r>
    </w:p>
    <w:p w14:paraId="54885DBC" w14:textId="77777777" w:rsidR="00396F9D" w:rsidRPr="002A124D" w:rsidRDefault="00396F9D" w:rsidP="00396F9D">
      <w:pPr>
        <w:pStyle w:val="Corpotesto"/>
        <w:jc w:val="both"/>
        <w:rPr>
          <w:rFonts w:ascii="Palatino Linotype" w:hAnsi="Palatino Linotype"/>
          <w:bCs/>
          <w:szCs w:val="24"/>
        </w:rPr>
      </w:pPr>
    </w:p>
    <w:p w14:paraId="0E80D549" w14:textId="77777777" w:rsidR="00396F9D" w:rsidRPr="002A124D" w:rsidRDefault="00396F9D" w:rsidP="00396F9D">
      <w:pPr>
        <w:pStyle w:val="Corpotesto"/>
        <w:jc w:val="both"/>
        <w:rPr>
          <w:rFonts w:ascii="Palatino Linotype" w:hAnsi="Palatino Linotype"/>
          <w:bCs/>
          <w:szCs w:val="24"/>
        </w:rPr>
      </w:pPr>
      <w:r w:rsidRPr="002A124D">
        <w:rPr>
          <w:rFonts w:ascii="Palatino Linotype" w:hAnsi="Palatino Linotype"/>
          <w:bCs/>
          <w:szCs w:val="24"/>
        </w:rPr>
        <w:t xml:space="preserve">Atteso che la deliberazione della Sezione della Corte dei Conti sopracitata ha confermato quanto segue: </w:t>
      </w:r>
      <w:r w:rsidRPr="002A124D">
        <w:rPr>
          <w:rFonts w:ascii="Palatino Linotype" w:hAnsi="Palatino Linotype"/>
          <w:bCs/>
          <w:i/>
          <w:iCs/>
          <w:szCs w:val="24"/>
        </w:rPr>
        <w:t xml:space="preserve">“L’art. 33, co. 2, del decreto-legge 30 aprile 2019, n. 34, convertito dalla legge 27 dicembre 2019, n. 162 e ss.mm. e ii. e il decreto interministeriale del 17 marzo 2020, i quali fissano la disciplina per le assunzioni di personale a tempo indeterminato per i Comuni, non si applicano alle Unioni di Comuni. </w:t>
      </w:r>
    </w:p>
    <w:p w14:paraId="7F82F8C7" w14:textId="77777777" w:rsidR="00396F9D" w:rsidRPr="002A124D" w:rsidRDefault="00396F9D" w:rsidP="00396F9D">
      <w:pPr>
        <w:pStyle w:val="Corpotesto"/>
        <w:jc w:val="both"/>
        <w:rPr>
          <w:rFonts w:ascii="Palatino Linotype" w:hAnsi="Palatino Linotype"/>
          <w:bCs/>
          <w:szCs w:val="24"/>
        </w:rPr>
      </w:pPr>
      <w:r w:rsidRPr="002A124D">
        <w:rPr>
          <w:rFonts w:ascii="Palatino Linotype" w:hAnsi="Palatino Linotype"/>
          <w:bCs/>
          <w:i/>
          <w:iCs/>
          <w:szCs w:val="24"/>
        </w:rPr>
        <w:t xml:space="preserve">2. le facoltà di assunzione delle Unioni dei comuni sono tuttora disciplinate dall’art. 1, comma 229, della legge 28 dicembre 2015, n. 208 che costituisce norma speciale, consentendo il reclutamento di personale con contratti di lavoro subordinato a tempo indeterminato nei limiti del 100% della spesa relativa al personale di ruolo cessato dal servizio nell'anno precedente. </w:t>
      </w:r>
    </w:p>
    <w:p w14:paraId="5E8EF163" w14:textId="77777777" w:rsidR="00396F9D" w:rsidRPr="002A124D" w:rsidRDefault="00396F9D" w:rsidP="00396F9D">
      <w:pPr>
        <w:pStyle w:val="Corpotesto"/>
        <w:jc w:val="both"/>
        <w:rPr>
          <w:rFonts w:ascii="Palatino Linotype" w:hAnsi="Palatino Linotype"/>
          <w:bCs/>
          <w:i/>
          <w:iCs/>
          <w:szCs w:val="24"/>
        </w:rPr>
      </w:pPr>
      <w:r w:rsidRPr="002A124D">
        <w:rPr>
          <w:rFonts w:ascii="Palatino Linotype" w:hAnsi="Palatino Linotype"/>
          <w:bCs/>
          <w:i/>
          <w:iCs/>
          <w:szCs w:val="24"/>
        </w:rPr>
        <w:t>3. I vincoli applicabili alla spesa per il personale delle Unioni di Comuni restano quelli stabiliti dalle norme richiamate nei principi affermati nelle deliberazioni n. 8/2011/SEZAUT/QMIG e n. 20/2018/SEZAUT/QMIG”.</w:t>
      </w:r>
    </w:p>
    <w:p w14:paraId="2CCF4FFD" w14:textId="77777777" w:rsidR="00396F9D" w:rsidRPr="002A124D" w:rsidRDefault="00396F9D" w:rsidP="00396F9D">
      <w:pPr>
        <w:pStyle w:val="Corpotesto"/>
        <w:jc w:val="both"/>
        <w:rPr>
          <w:rFonts w:ascii="Palatino Linotype" w:hAnsi="Palatino Linotype"/>
          <w:bCs/>
          <w:i/>
          <w:iCs/>
          <w:szCs w:val="24"/>
        </w:rPr>
      </w:pPr>
    </w:p>
    <w:p w14:paraId="283C5B67" w14:textId="77777777" w:rsidR="00396F9D" w:rsidRPr="002A124D"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2A124D">
        <w:rPr>
          <w:rFonts w:ascii="Palatino Linotype" w:hAnsi="Palatino Linotype" w:cs="Book Antiqua"/>
          <w:color w:val="000000"/>
          <w:sz w:val="23"/>
          <w:szCs w:val="23"/>
        </w:rPr>
        <w:t xml:space="preserve">Al riguardo, la stessa Sezione della Corte dei Conti richiama quanto già affermato nella deliberazione n.109/2020/PAR, atteso che la nuova disciplina del regime vincolistico diretto al </w:t>
      </w:r>
      <w:r w:rsidRPr="002A124D">
        <w:rPr>
          <w:rFonts w:ascii="Palatino Linotype" w:hAnsi="Palatino Linotype" w:cs="Book Antiqua"/>
          <w:color w:val="000000"/>
          <w:sz w:val="23"/>
          <w:szCs w:val="23"/>
        </w:rPr>
        <w:lastRenderedPageBreak/>
        <w:t xml:space="preserve">contenimento della spesa di personale non può non trovare applicazione nel caso di trasferimento di funzioni alle Unioni di comuni, in quanto espressione di principi volti a salvaguardare gli equilibri di finanza pubblica. Più precisamente, nel citato parere la Sezione ha evidenziato che “la nuova disciplina in discorso, introducendo una diversa modalità di computazione dello spazio assunzionale dell’ente. A conferma di tale tesi, viene richiamata anche la pronuncia della Sezione delle autonomie n. 1/SEZAUT/2021/QMIG, la quale, nell’affermare la legittimazione delle Unioni di comuni a richiedere, a determinate condizioni, pareri ex art. 7, comma 8, della L. 131/2007, ha ribadito la soggezione di tali enti locali a specifici vincoli di finanza pubblica e ha ritenuto che le Unioni di comuni “sono proiezioni dei singoli enti partecipanti finalizzate all’esercizio congiunto di funzioni di competenza dei comuni, cui si applicano i principi previsti per l’ordinamento di tali enti”. </w:t>
      </w:r>
    </w:p>
    <w:p w14:paraId="2E8B44A1" w14:textId="77777777" w:rsidR="00396F9D" w:rsidRPr="002A124D" w:rsidRDefault="00396F9D" w:rsidP="00396F9D">
      <w:pPr>
        <w:autoSpaceDE w:val="0"/>
        <w:autoSpaceDN w:val="0"/>
        <w:adjustRightInd w:val="0"/>
        <w:spacing w:after="0" w:line="240" w:lineRule="auto"/>
        <w:jc w:val="both"/>
        <w:rPr>
          <w:rFonts w:ascii="Palatino Linotype" w:hAnsi="Palatino Linotype" w:cs="Times New Roman"/>
          <w:color w:val="000000"/>
          <w:sz w:val="20"/>
          <w:szCs w:val="20"/>
        </w:rPr>
      </w:pPr>
      <w:r w:rsidRPr="002A124D">
        <w:rPr>
          <w:rFonts w:ascii="Palatino Linotype" w:hAnsi="Palatino Linotype" w:cs="Book Antiqua"/>
          <w:color w:val="000000"/>
          <w:sz w:val="23"/>
          <w:szCs w:val="23"/>
        </w:rPr>
        <w:t xml:space="preserve">Pertanto, il Collegio lombardo ritiene che, nell’attuale quadro normativo, la verifica del rispetto dei vincoli assunzionali da parte dell’Unione non possa avvenire secondo il meccanismo del “cumulo”, neppure laddove all’Unione di comuni sia trasferito tutto il personale. </w:t>
      </w:r>
    </w:p>
    <w:p w14:paraId="2FD48F88" w14:textId="77777777" w:rsidR="00396F9D" w:rsidRPr="002A124D" w:rsidRDefault="00396F9D" w:rsidP="00396F9D">
      <w:pPr>
        <w:pStyle w:val="Corpotesto"/>
        <w:jc w:val="both"/>
        <w:rPr>
          <w:rFonts w:ascii="Palatino Linotype" w:hAnsi="Palatino Linotype"/>
          <w:bCs/>
          <w:szCs w:val="24"/>
        </w:rPr>
      </w:pPr>
    </w:p>
    <w:p w14:paraId="08933358" w14:textId="77777777" w:rsidR="00396F9D"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L’art. 39 della Legge n. 449/1997 stabilisce che le Pubbliche Amministrazioni, al fine di assicurare funzionalità ed ottimizzazione delle risorse per il migliore funzionamento dei servizi in relazione alle disponibilità finanziarie e di bilancio, provvedano alla programmazione triennale del fabbisogno di personale, comprensivo delle unità di cui alla Legge n. 68/1999.</w:t>
      </w:r>
    </w:p>
    <w:p w14:paraId="12256FC4"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p>
    <w:p w14:paraId="413D7FE7"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L’obbligo di programmazione del fabbisogno del personale è altresì sancito dall’art. 91 del D.Lgs. n. 267/2000, che precisa che la programmazione deve essere finalizzata alla riduzione programmata delle spese del personale. Il D.Lgs. 165/2001 dispone, inoltre, quanto segue relativamente alla programmazione del fabbisogno di personale:</w:t>
      </w:r>
    </w:p>
    <w:p w14:paraId="6F60A89E" w14:textId="77777777" w:rsidR="00396F9D"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art. 6 – comma 4 - il documento di programmazione deve essere correlato alla dotazione organica dell’Ente e deve risultare coerente con gli strumenti di programmazione economico finanziaria;</w:t>
      </w:r>
    </w:p>
    <w:p w14:paraId="6A319E39"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art. 6 - comma 4bis - il documento di programmazione deve essere elaborato su proposta dei competenti dirigenti che individuano i profili professionali necessari allo svolgimento dei compiti istituzionali delle strutture cui sono preposti;</w:t>
      </w:r>
    </w:p>
    <w:p w14:paraId="0C8FCF0C"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art. 35 – comma 4 – la programmazione triennale dei fabbisogni di personale costituisce presupposto necessario per l’avvio delle procedure di reclutamento.</w:t>
      </w:r>
    </w:p>
    <w:p w14:paraId="0406A6C7"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In base a quanto stabilito dal decreto legislativo n. 118 del 2011, le amministrazioni pubbliche territoriali (ai sensi del medesimo decreto) conformano la propria gestione a regole contabili uniformi definite sotto forma di principi contabili generali e di principi contabili applicati. Il principio contabile sperimentale applicato concernente la programmazione di bilancio prevede che all’interno della Sezione Operativa del Documento Unico di Programmazione sia contenuta anche la programmazione del fabbisogno di personale a livello triennale e annuale.</w:t>
      </w:r>
    </w:p>
    <w:p w14:paraId="0E38C23D"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La programmazione, che è stata effettuata in coerenza con le valutazioni in merito ai fabbisogni organizzativi espressi dai Dirigenti dell’Ente, è riportata nel presente documento sotto forma di indirizzi e direttive di massima, a cui dovranno attenersi nelle indicazioni operative i piani occupazionali annuali approvati dalla Giunta Unionale.</w:t>
      </w:r>
    </w:p>
    <w:p w14:paraId="32805C80"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L’art. 33, D.Lgs. 30 marzo 2011, n. 165, relativo alle eccedenze di personale, il quale ai commi da 1 a 4 così dispone:</w:t>
      </w:r>
    </w:p>
    <w:p w14:paraId="01697923"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lastRenderedPageBreak/>
        <w:t>“1. Le pubbliche amministrazioni che hanno situazioni di soprannumero o rilevino comunque eccedenze di personale, in relazione alle esigenze funzionali o alla situazione finanziaria, anche in sede di ricognizione annuale prevista dall'articolo 6, comma 1, terzo e quarto periodo, sono tenute ad osservare le procedure previste dal presente articolo dandone immediata comunicazione al Dipartimento della funzione pubblica.</w:t>
      </w:r>
    </w:p>
    <w:p w14:paraId="4658F700"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2. Le amministrazioni pubbliche che non adempiono alla ricognizione annuale di cui al comma 1 non possono effettuare assunzioni o instaurare rapporti di lavoro con qualunque tipologia di contratto pena la nullità degli atti posti in essere.</w:t>
      </w:r>
    </w:p>
    <w:p w14:paraId="5E08992F"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3. La mancata attivazione delle procedure di cui al presente articolo da parte del dirigente responsabile è valutabile ai fini della responsabilità disciplinare.</w:t>
      </w:r>
    </w:p>
    <w:p w14:paraId="0AE991BE"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Nei casi previsti dal comma 1 del presente articolo il dirigente responsabile deve dare un'informativa preventiva alle rappresentanze unitarie del personale e alle organizzazioni sindacali firmatarie del contratto collettivo nazionale del comparto o area.”</w:t>
      </w:r>
    </w:p>
    <w:p w14:paraId="3D88EE8E"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Il piano triennale dei fabbisogni di personale deve essere definito in coerenza con l’attività di programmazione complessiva dell’ente, la quale, oltre a essere necessaria in ragione delle prescrizioni di legge, è:</w:t>
      </w:r>
    </w:p>
    <w:p w14:paraId="493490D5"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 alla base delle regole costituzionali di buona amministrazione, efficienza, efficacia ed economicità dell’azione amministrativa;</w:t>
      </w:r>
    </w:p>
    <w:p w14:paraId="00A50DA8"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 strumento imprescindibile di un’organizzazione chiamata a garantire, come corollario del generale vincolo di perseguimento dell’interesse pubblico, il miglioramento della qualità dei servizi offerti ai cittadini e alle imprese;</w:t>
      </w:r>
    </w:p>
    <w:p w14:paraId="57098414" w14:textId="77777777" w:rsidR="00396F9D"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Secondo l’impostazione definita dal D.Lgs. n. 75/2017, il concetto di “dotazione organica” si deve tradurre, d’ora in avanti, non come un elenco di posti di lavoro occupati e da occupare, ma come tetto massimo di spesa potenziale che ciascun ente deve determinare per l’attuazione del piano triennale dei fabbisogni di personale, tenendo sempre presente nel caso degli enti locali che restano efficaci a tale scopo tutte le disposizioni di legge vigenti relative al contenimento della spesa di personale e alla determinazione dei budget assunzionali.</w:t>
      </w:r>
    </w:p>
    <w:p w14:paraId="231CC6E4"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p>
    <w:p w14:paraId="2206CCAE" w14:textId="208B14EA" w:rsidR="00396F9D" w:rsidRDefault="00CE31BE" w:rsidP="00396F9D">
      <w:pPr>
        <w:autoSpaceDE w:val="0"/>
        <w:autoSpaceDN w:val="0"/>
        <w:adjustRightInd w:val="0"/>
        <w:spacing w:after="0" w:line="240" w:lineRule="auto"/>
        <w:jc w:val="both"/>
        <w:rPr>
          <w:rFonts w:ascii="Palatino Linotype" w:hAnsi="Palatino Linotype" w:cs="Book Antiqua"/>
          <w:color w:val="000000"/>
          <w:sz w:val="23"/>
          <w:szCs w:val="23"/>
        </w:rPr>
      </w:pPr>
      <w:r>
        <w:rPr>
          <w:rFonts w:ascii="Palatino Linotype" w:hAnsi="Palatino Linotype" w:cs="Book Antiqua"/>
          <w:color w:val="000000"/>
          <w:sz w:val="23"/>
          <w:szCs w:val="23"/>
        </w:rPr>
        <w:t xml:space="preserve">3.3.4 </w:t>
      </w:r>
      <w:r w:rsidR="00396F9D" w:rsidRPr="00312587">
        <w:rPr>
          <w:rFonts w:ascii="Palatino Linotype" w:hAnsi="Palatino Linotype" w:cs="Book Antiqua"/>
          <w:color w:val="000000"/>
          <w:sz w:val="23"/>
          <w:szCs w:val="23"/>
        </w:rPr>
        <w:t xml:space="preserve">PIANO DI AZIONI POSITIVE PER IL TRIENNIO </w:t>
      </w:r>
      <w:r w:rsidR="00396F9D" w:rsidRPr="00F60F8C">
        <w:rPr>
          <w:rFonts w:ascii="Palatino Linotype" w:hAnsi="Palatino Linotype" w:cs="Book Antiqua"/>
          <w:bCs/>
          <w:color w:val="000000"/>
          <w:sz w:val="23"/>
          <w:szCs w:val="23"/>
        </w:rPr>
        <w:t>2026-2028</w:t>
      </w:r>
    </w:p>
    <w:p w14:paraId="79E6FD5C"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p>
    <w:p w14:paraId="2D929D92"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Premessa</w:t>
      </w:r>
    </w:p>
    <w:p w14:paraId="6CB3BA49"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Il Piano triennale di azioni positive oltre a rispondere ad un obbligo di legge (</w:t>
      </w:r>
      <w:proofErr w:type="gramStart"/>
      <w:r w:rsidRPr="00312587">
        <w:rPr>
          <w:rFonts w:ascii="Palatino Linotype" w:hAnsi="Palatino Linotype" w:cs="Book Antiqua"/>
          <w:color w:val="000000"/>
          <w:sz w:val="23"/>
          <w:szCs w:val="23"/>
        </w:rPr>
        <w:t>art..</w:t>
      </w:r>
      <w:proofErr w:type="gramEnd"/>
      <w:r w:rsidRPr="00312587">
        <w:rPr>
          <w:rFonts w:ascii="Palatino Linotype" w:hAnsi="Palatino Linotype" w:cs="Book Antiqua"/>
          <w:color w:val="000000"/>
          <w:sz w:val="23"/>
          <w:szCs w:val="23"/>
        </w:rPr>
        <w:t xml:space="preserve"> 48 del Codice delle pari opportunità tra uomo e donna (Decreto legislativo 11 aprile 2006, n. 198), vuole porsi nel contesto dell’Unione dei Comuni Lombarda Borghi e Valli d’Oltrepo’ come strumento semplice ed operativo per l’applicazione concreta delle pari opportunità tra uomini e donne avuto riguardo alla realtà ed alle dimensioni dell’Ente.</w:t>
      </w:r>
    </w:p>
    <w:p w14:paraId="45FE70F7"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Partendo dal presupposto che le discriminazioni possono manifestarsi in tutti i momenti della vita lavorativa e possono annidarsi nelle stesse regole che disciplinano l’organizzazione del lavoro e la gestione dei rapporti, si ritiene importante che la valutazione dell’effetto discriminatorio di una regola o di un criterio venga valutato a monte, ovvero prima che la regola o il criterio abbiano potuto produrre una discriminazione.</w:t>
      </w:r>
    </w:p>
    <w:p w14:paraId="4D4083AE"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 xml:space="preserve">La funzione dell’azione positiva, intesa come strategia destinata a stabilire </w:t>
      </w:r>
      <w:proofErr w:type="gramStart"/>
      <w:r w:rsidRPr="00312587">
        <w:rPr>
          <w:rFonts w:ascii="Palatino Linotype" w:hAnsi="Palatino Linotype" w:cs="Book Antiqua"/>
          <w:color w:val="000000"/>
          <w:sz w:val="23"/>
          <w:szCs w:val="23"/>
        </w:rPr>
        <w:t>l´uguaglianza</w:t>
      </w:r>
      <w:proofErr w:type="gramEnd"/>
      <w:r w:rsidRPr="00312587">
        <w:rPr>
          <w:rFonts w:ascii="Palatino Linotype" w:hAnsi="Palatino Linotype" w:cs="Book Antiqua"/>
          <w:color w:val="000000"/>
          <w:sz w:val="23"/>
          <w:szCs w:val="23"/>
        </w:rPr>
        <w:t xml:space="preserve"> delle opportunità, grazie a misure che permettano di contrastare e correggere discriminazioni che sono il risultato di pratiche o di sistemi sociali, non si limita al campo del lavoro. Azioni Positive possono essere svolte nel campo dell’informazione, della formazione professionale e in altri campi della vita sociale e civile.</w:t>
      </w:r>
    </w:p>
    <w:p w14:paraId="3F087CC8"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lastRenderedPageBreak/>
        <w:t>Secondo quanto disposto dalla normativa vigente in materia, le azioni positive rappresentano misure preferenziali per porre rimedio agli effetti sfavorevoli indotti dalle discriminazioni, per guardare alla parità attraverso interventi di valorizzazione del lavoro e per riequilibrare la presenza femminile nei luoghi di vertice.</w:t>
      </w:r>
    </w:p>
    <w:p w14:paraId="43A7E4F0"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Inoltre la Direttiva 23 maggio 2007 del Ministro per le Riforme e Innovazioni nella P.A. di concerto con il Ministro per i Diritti e le Pari Opportunità, “Misure per attuare parità e pari opportunità tra uomini e donne nelle amministrazioni pubbliche”, richiamando la direttiva del Parlamento e del Consiglio Europeo 2006/54/CE, indica come sia importante il ruolo che le amministrazioni pubbliche ricoprono nello svolgere un ruolo propositivo e propulsivo ai fini della promozione e dell’attuazione del principio delle pari opportunità e della valorizzazione delle differenze nelle politiche del personale.</w:t>
      </w:r>
    </w:p>
    <w:p w14:paraId="1B06B4B0"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Consapevole dell’importanza di uno strumento finalizzato all’attuazione delle leggi di pari opportunità, l’Unione dei Comuni Lombarda Borghi e Valli d’Oltrepò attraverso il presente piano di azioni positive predisposto dal Segretario Unionale, armonizza la propria attività al perseguimento e all’applicazione del diritto di uomini e donne allo stesso trattamento in materia di lavoro.</w:t>
      </w:r>
    </w:p>
    <w:p w14:paraId="6B4E942F" w14:textId="77777777" w:rsidR="00396F9D" w:rsidRPr="00312587" w:rsidRDefault="00396F9D" w:rsidP="00396F9D">
      <w:pPr>
        <w:autoSpaceDE w:val="0"/>
        <w:autoSpaceDN w:val="0"/>
        <w:adjustRightInd w:val="0"/>
        <w:spacing w:after="0" w:line="240" w:lineRule="auto"/>
        <w:jc w:val="both"/>
        <w:rPr>
          <w:rFonts w:ascii="Palatino Linotype" w:hAnsi="Palatino Linotype" w:cs="Book Antiqua"/>
          <w:color w:val="000000"/>
          <w:sz w:val="23"/>
          <w:szCs w:val="23"/>
        </w:rPr>
      </w:pPr>
      <w:r w:rsidRPr="00312587">
        <w:rPr>
          <w:rFonts w:ascii="Palatino Linotype" w:hAnsi="Palatino Linotype" w:cs="Book Antiqua"/>
          <w:color w:val="000000"/>
          <w:sz w:val="23"/>
          <w:szCs w:val="23"/>
        </w:rPr>
        <w:t>Il piano si sviluppa in obiettivi suddivisi a loro volta in azioni positive. Per la realizzazione delle azioni positive, saranno coinvolti tutti i settori dell'ente, ognuno per la parte di propria competenza.</w:t>
      </w:r>
    </w:p>
    <w:p w14:paraId="4097BD85" w14:textId="77777777" w:rsidR="00396F9D" w:rsidRDefault="00396F9D" w:rsidP="00396F9D">
      <w:pPr>
        <w:tabs>
          <w:tab w:val="center" w:pos="7371"/>
        </w:tabs>
        <w:spacing w:after="120" w:line="480" w:lineRule="auto"/>
        <w:rPr>
          <w:rFonts w:ascii="Palatino Linotype" w:eastAsia="Times New Roman" w:hAnsi="Palatino Linotype" w:cs="Times New Roman"/>
          <w:b/>
          <w:szCs w:val="24"/>
        </w:rPr>
      </w:pPr>
    </w:p>
    <w:p w14:paraId="184E6745" w14:textId="77777777" w:rsidR="00396F9D" w:rsidRPr="002A124D" w:rsidRDefault="00396F9D" w:rsidP="00396F9D">
      <w:pPr>
        <w:tabs>
          <w:tab w:val="center" w:pos="7371"/>
        </w:tabs>
        <w:spacing w:after="120" w:line="480" w:lineRule="auto"/>
        <w:rPr>
          <w:rFonts w:ascii="Palatino Linotype" w:eastAsia="Times New Roman" w:hAnsi="Palatino Linotype" w:cs="Times New Roman"/>
          <w:b/>
          <w:szCs w:val="24"/>
        </w:rPr>
      </w:pPr>
      <w:r w:rsidRPr="002A124D">
        <w:rPr>
          <w:rFonts w:ascii="Palatino Linotype" w:eastAsia="Times New Roman" w:hAnsi="Palatino Linotype" w:cs="Times New Roman"/>
          <w:b/>
          <w:szCs w:val="24"/>
        </w:rPr>
        <w:t xml:space="preserve">PIANO TRIENNALE DELLE AZIONI POSITIVE </w:t>
      </w:r>
      <w:r w:rsidRPr="00F60F8C">
        <w:rPr>
          <w:rFonts w:ascii="Palatino Linotype" w:eastAsia="Times New Roman" w:hAnsi="Palatino Linotype" w:cs="Times New Roman"/>
          <w:b/>
          <w:bCs/>
          <w:szCs w:val="24"/>
        </w:rPr>
        <w:t>2026-2028</w:t>
      </w:r>
    </w:p>
    <w:p w14:paraId="12DC6E47" w14:textId="77777777" w:rsidR="00396F9D" w:rsidRPr="002A124D" w:rsidRDefault="00396F9D" w:rsidP="00396F9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 xml:space="preserve">Segretario </w:t>
      </w:r>
      <w:proofErr w:type="gramStart"/>
      <w:r w:rsidRPr="002A124D">
        <w:rPr>
          <w:rFonts w:ascii="Palatino Linotype" w:eastAsia="Times New Roman" w:hAnsi="Palatino Linotype" w:cs="Times New Roman"/>
          <w:bCs/>
          <w:szCs w:val="24"/>
        </w:rPr>
        <w:t>Unionale :</w:t>
      </w:r>
      <w:proofErr w:type="gramEnd"/>
      <w:r w:rsidRPr="002A124D">
        <w:rPr>
          <w:rFonts w:ascii="Palatino Linotype" w:eastAsia="Times New Roman" w:hAnsi="Palatino Linotype" w:cs="Times New Roman"/>
          <w:bCs/>
          <w:szCs w:val="24"/>
        </w:rPr>
        <w:t xml:space="preserve"> n. 1 uomo</w:t>
      </w:r>
    </w:p>
    <w:p w14:paraId="2D7F53B7" w14:textId="77777777" w:rsidR="00396F9D" w:rsidRDefault="00396F9D" w:rsidP="00396F9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Personale con funzioni di Responsabilità di P.O</w:t>
      </w:r>
      <w:r>
        <w:rPr>
          <w:rFonts w:ascii="Palatino Linotype" w:eastAsia="Times New Roman" w:hAnsi="Palatino Linotype" w:cs="Times New Roman"/>
          <w:bCs/>
          <w:szCs w:val="24"/>
        </w:rPr>
        <w:t>:</w:t>
      </w:r>
    </w:p>
    <w:tbl>
      <w:tblPr>
        <w:tblW w:w="10280" w:type="dxa"/>
        <w:tblInd w:w="-15" w:type="dxa"/>
        <w:tblLayout w:type="fixed"/>
        <w:tblLook w:val="0000" w:firstRow="0" w:lastRow="0" w:firstColumn="0" w:lastColumn="0" w:noHBand="0" w:noVBand="0"/>
      </w:tblPr>
      <w:tblGrid>
        <w:gridCol w:w="6345"/>
        <w:gridCol w:w="2127"/>
        <w:gridCol w:w="1808"/>
      </w:tblGrid>
      <w:tr w:rsidR="00396F9D" w:rsidRPr="002A124D" w14:paraId="7A8180C3" w14:textId="77777777" w:rsidTr="00CB48FD">
        <w:trPr>
          <w:trHeight w:val="387"/>
        </w:trPr>
        <w:tc>
          <w:tcPr>
            <w:tcW w:w="6345" w:type="dxa"/>
            <w:tcBorders>
              <w:top w:val="single" w:sz="4" w:space="0" w:color="000000"/>
              <w:left w:val="single" w:sz="4" w:space="0" w:color="000000"/>
              <w:bottom w:val="single" w:sz="4" w:space="0" w:color="000000"/>
            </w:tcBorders>
          </w:tcPr>
          <w:p w14:paraId="08BB569F"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Posizione organizzativa</w:t>
            </w:r>
          </w:p>
        </w:tc>
        <w:tc>
          <w:tcPr>
            <w:tcW w:w="2127" w:type="dxa"/>
            <w:tcBorders>
              <w:top w:val="single" w:sz="4" w:space="0" w:color="000000"/>
              <w:left w:val="single" w:sz="4" w:space="0" w:color="000000"/>
              <w:bottom w:val="single" w:sz="4" w:space="0" w:color="000000"/>
            </w:tcBorders>
          </w:tcPr>
          <w:p w14:paraId="15F6BBA6"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Uomini</w:t>
            </w:r>
          </w:p>
        </w:tc>
        <w:tc>
          <w:tcPr>
            <w:tcW w:w="1808" w:type="dxa"/>
            <w:tcBorders>
              <w:top w:val="single" w:sz="4" w:space="0" w:color="000000"/>
              <w:left w:val="single" w:sz="4" w:space="0" w:color="000000"/>
              <w:bottom w:val="single" w:sz="4" w:space="0" w:color="000000"/>
              <w:right w:val="single" w:sz="4" w:space="0" w:color="000000"/>
            </w:tcBorders>
          </w:tcPr>
          <w:p w14:paraId="35899763"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Donne</w:t>
            </w:r>
          </w:p>
        </w:tc>
      </w:tr>
      <w:tr w:rsidR="00396F9D" w:rsidRPr="002A124D" w14:paraId="5B7EC76E" w14:textId="77777777" w:rsidTr="00CB48FD">
        <w:tc>
          <w:tcPr>
            <w:tcW w:w="6345" w:type="dxa"/>
            <w:tcBorders>
              <w:top w:val="single" w:sz="4" w:space="0" w:color="000000"/>
              <w:left w:val="single" w:sz="4" w:space="0" w:color="000000"/>
              <w:bottom w:val="single" w:sz="4" w:space="0" w:color="000000"/>
            </w:tcBorders>
          </w:tcPr>
          <w:p w14:paraId="5535A3D6" w14:textId="77777777" w:rsidR="00396F9D" w:rsidRPr="000C72EE" w:rsidRDefault="00396F9D" w:rsidP="00CB48FD">
            <w:pPr>
              <w:tabs>
                <w:tab w:val="center" w:pos="7371"/>
              </w:tabs>
              <w:spacing w:after="120" w:line="480" w:lineRule="auto"/>
              <w:rPr>
                <w:rFonts w:ascii="Palatino Linotype" w:eastAsia="Times New Roman" w:hAnsi="Palatino Linotype" w:cs="Times New Roman"/>
                <w:bCs/>
                <w:szCs w:val="24"/>
              </w:rPr>
            </w:pPr>
            <w:r w:rsidRPr="000C72EE">
              <w:rPr>
                <w:rFonts w:ascii="Palatino Linotype" w:eastAsia="Times New Roman" w:hAnsi="Palatino Linotype" w:cs="Times New Roman"/>
                <w:bCs/>
                <w:szCs w:val="24"/>
              </w:rPr>
              <w:t>Servizio VIGILANZA, TRIBUTI, DEMOGRAFICI, GIOVANI, CULTURA E ATTIVITÀ SOCIALI</w:t>
            </w:r>
          </w:p>
        </w:tc>
        <w:tc>
          <w:tcPr>
            <w:tcW w:w="2127" w:type="dxa"/>
            <w:tcBorders>
              <w:top w:val="single" w:sz="4" w:space="0" w:color="000000"/>
              <w:left w:val="single" w:sz="4" w:space="0" w:color="000000"/>
              <w:bottom w:val="single" w:sz="4" w:space="0" w:color="000000"/>
            </w:tcBorders>
          </w:tcPr>
          <w:p w14:paraId="05DB3145" w14:textId="77777777" w:rsidR="00396F9D" w:rsidRPr="000C72EE" w:rsidRDefault="00396F9D" w:rsidP="00CB48FD">
            <w:pPr>
              <w:tabs>
                <w:tab w:val="center" w:pos="7371"/>
              </w:tabs>
              <w:spacing w:after="120" w:line="480" w:lineRule="auto"/>
              <w:rPr>
                <w:rFonts w:ascii="Palatino Linotype" w:eastAsia="Times New Roman" w:hAnsi="Palatino Linotype" w:cs="Times New Roman"/>
                <w:bCs/>
                <w:szCs w:val="24"/>
              </w:rPr>
            </w:pPr>
            <w:r w:rsidRPr="000C72EE">
              <w:rPr>
                <w:rFonts w:ascii="Palatino Linotype" w:eastAsia="Times New Roman" w:hAnsi="Palatino Linotype" w:cs="Times New Roman"/>
                <w:bCs/>
                <w:szCs w:val="24"/>
              </w:rPr>
              <w:t>1</w:t>
            </w:r>
          </w:p>
        </w:tc>
        <w:tc>
          <w:tcPr>
            <w:tcW w:w="1808" w:type="dxa"/>
            <w:tcBorders>
              <w:top w:val="single" w:sz="4" w:space="0" w:color="000000"/>
              <w:left w:val="single" w:sz="4" w:space="0" w:color="000000"/>
              <w:bottom w:val="single" w:sz="4" w:space="0" w:color="000000"/>
              <w:right w:val="single" w:sz="4" w:space="0" w:color="000000"/>
            </w:tcBorders>
          </w:tcPr>
          <w:p w14:paraId="44FDE674"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0</w:t>
            </w:r>
          </w:p>
        </w:tc>
      </w:tr>
      <w:tr w:rsidR="00396F9D" w:rsidRPr="002A124D" w14:paraId="399E9712" w14:textId="77777777" w:rsidTr="00CB48FD">
        <w:tc>
          <w:tcPr>
            <w:tcW w:w="6345" w:type="dxa"/>
            <w:tcBorders>
              <w:top w:val="single" w:sz="4" w:space="0" w:color="000000"/>
              <w:left w:val="single" w:sz="4" w:space="0" w:color="000000"/>
              <w:bottom w:val="single" w:sz="4" w:space="0" w:color="000000"/>
            </w:tcBorders>
          </w:tcPr>
          <w:p w14:paraId="29B5B841" w14:textId="77777777" w:rsidR="00396F9D" w:rsidRPr="000C72EE" w:rsidRDefault="00396F9D" w:rsidP="00CB48FD">
            <w:pPr>
              <w:tabs>
                <w:tab w:val="center" w:pos="7371"/>
              </w:tabs>
              <w:spacing w:after="120" w:line="480" w:lineRule="auto"/>
              <w:rPr>
                <w:rFonts w:ascii="Palatino Linotype" w:eastAsia="Times New Roman" w:hAnsi="Palatino Linotype" w:cs="Times New Roman"/>
                <w:bCs/>
                <w:szCs w:val="24"/>
              </w:rPr>
            </w:pPr>
            <w:r w:rsidRPr="000C72EE">
              <w:rPr>
                <w:rFonts w:ascii="Palatino Linotype" w:eastAsia="Times New Roman" w:hAnsi="Palatino Linotype" w:cs="Times New Roman"/>
                <w:bCs/>
                <w:szCs w:val="24"/>
              </w:rPr>
              <w:t xml:space="preserve">Servizio TECNICO LLPP </w:t>
            </w:r>
          </w:p>
        </w:tc>
        <w:tc>
          <w:tcPr>
            <w:tcW w:w="2127" w:type="dxa"/>
            <w:tcBorders>
              <w:top w:val="single" w:sz="4" w:space="0" w:color="000000"/>
              <w:left w:val="single" w:sz="4" w:space="0" w:color="000000"/>
              <w:bottom w:val="single" w:sz="4" w:space="0" w:color="000000"/>
            </w:tcBorders>
          </w:tcPr>
          <w:p w14:paraId="3B6A61AB" w14:textId="77777777" w:rsidR="00396F9D" w:rsidRPr="000C72EE" w:rsidRDefault="00396F9D" w:rsidP="00CB48FD">
            <w:pPr>
              <w:tabs>
                <w:tab w:val="center" w:pos="7371"/>
              </w:tabs>
              <w:spacing w:after="120" w:line="480" w:lineRule="auto"/>
              <w:rPr>
                <w:rFonts w:ascii="Palatino Linotype" w:eastAsia="Times New Roman" w:hAnsi="Palatino Linotype" w:cs="Times New Roman"/>
                <w:bCs/>
                <w:szCs w:val="24"/>
              </w:rPr>
            </w:pPr>
            <w:r w:rsidRPr="000C72EE">
              <w:rPr>
                <w:rFonts w:ascii="Palatino Linotype" w:eastAsia="Times New Roman" w:hAnsi="Palatino Linotype" w:cs="Times New Roman"/>
                <w:bCs/>
                <w:szCs w:val="24"/>
              </w:rPr>
              <w:t>1</w:t>
            </w:r>
          </w:p>
        </w:tc>
        <w:tc>
          <w:tcPr>
            <w:tcW w:w="1808" w:type="dxa"/>
            <w:tcBorders>
              <w:top w:val="single" w:sz="4" w:space="0" w:color="000000"/>
              <w:left w:val="single" w:sz="4" w:space="0" w:color="000000"/>
              <w:bottom w:val="single" w:sz="4" w:space="0" w:color="000000"/>
              <w:right w:val="single" w:sz="4" w:space="0" w:color="000000"/>
            </w:tcBorders>
          </w:tcPr>
          <w:p w14:paraId="7B319E9B"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0</w:t>
            </w:r>
          </w:p>
        </w:tc>
      </w:tr>
      <w:tr w:rsidR="00396F9D" w:rsidRPr="002A124D" w14:paraId="576C5E5B" w14:textId="77777777" w:rsidTr="00CB48FD">
        <w:tc>
          <w:tcPr>
            <w:tcW w:w="6345" w:type="dxa"/>
            <w:tcBorders>
              <w:top w:val="single" w:sz="4" w:space="0" w:color="000000"/>
              <w:left w:val="single" w:sz="4" w:space="0" w:color="000000"/>
              <w:bottom w:val="single" w:sz="4" w:space="0" w:color="000000"/>
            </w:tcBorders>
          </w:tcPr>
          <w:p w14:paraId="141663A2" w14:textId="77777777" w:rsidR="00396F9D" w:rsidRPr="000C72EE" w:rsidRDefault="00396F9D" w:rsidP="00CB48FD">
            <w:pPr>
              <w:tabs>
                <w:tab w:val="center" w:pos="7371"/>
              </w:tabs>
              <w:spacing w:after="120" w:line="480" w:lineRule="auto"/>
              <w:rPr>
                <w:rFonts w:ascii="Palatino Linotype" w:eastAsia="Times New Roman" w:hAnsi="Palatino Linotype" w:cs="Times New Roman"/>
                <w:bCs/>
                <w:szCs w:val="24"/>
              </w:rPr>
            </w:pPr>
            <w:r w:rsidRPr="000C72EE">
              <w:rPr>
                <w:rFonts w:ascii="Palatino Linotype" w:eastAsia="Times New Roman" w:hAnsi="Palatino Linotype" w:cs="Times New Roman"/>
                <w:bCs/>
                <w:szCs w:val="24"/>
              </w:rPr>
              <w:t xml:space="preserve">Servizio ECONOMICO FINANZIARIO </w:t>
            </w:r>
          </w:p>
        </w:tc>
        <w:tc>
          <w:tcPr>
            <w:tcW w:w="2127" w:type="dxa"/>
            <w:tcBorders>
              <w:top w:val="single" w:sz="4" w:space="0" w:color="000000"/>
              <w:left w:val="single" w:sz="4" w:space="0" w:color="000000"/>
              <w:bottom w:val="single" w:sz="4" w:space="0" w:color="000000"/>
            </w:tcBorders>
          </w:tcPr>
          <w:p w14:paraId="39F90C61" w14:textId="77777777" w:rsidR="00396F9D" w:rsidRPr="000C72EE" w:rsidRDefault="00396F9D" w:rsidP="00CB48FD">
            <w:pPr>
              <w:tabs>
                <w:tab w:val="center" w:pos="7371"/>
              </w:tabs>
              <w:spacing w:after="120" w:line="480" w:lineRule="auto"/>
              <w:rPr>
                <w:rFonts w:ascii="Palatino Linotype" w:eastAsia="Times New Roman" w:hAnsi="Palatino Linotype" w:cs="Times New Roman"/>
                <w:bCs/>
                <w:szCs w:val="24"/>
              </w:rPr>
            </w:pPr>
            <w:r w:rsidRPr="000C72EE">
              <w:rPr>
                <w:rFonts w:ascii="Palatino Linotype" w:eastAsia="Times New Roman" w:hAnsi="Palatino Linotype" w:cs="Times New Roman"/>
                <w:bCs/>
                <w:szCs w:val="24"/>
              </w:rPr>
              <w:t>0</w:t>
            </w:r>
          </w:p>
        </w:tc>
        <w:tc>
          <w:tcPr>
            <w:tcW w:w="1808" w:type="dxa"/>
            <w:tcBorders>
              <w:top w:val="single" w:sz="4" w:space="0" w:color="000000"/>
              <w:left w:val="single" w:sz="4" w:space="0" w:color="000000"/>
              <w:bottom w:val="single" w:sz="4" w:space="0" w:color="000000"/>
              <w:right w:val="single" w:sz="4" w:space="0" w:color="000000"/>
            </w:tcBorders>
          </w:tcPr>
          <w:p w14:paraId="225CA681"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1</w:t>
            </w:r>
          </w:p>
        </w:tc>
      </w:tr>
      <w:tr w:rsidR="00396F9D" w:rsidRPr="002A124D" w14:paraId="7A1DD134" w14:textId="77777777" w:rsidTr="00CB48FD">
        <w:tc>
          <w:tcPr>
            <w:tcW w:w="6345" w:type="dxa"/>
            <w:tcBorders>
              <w:top w:val="single" w:sz="4" w:space="0" w:color="000000"/>
              <w:left w:val="single" w:sz="4" w:space="0" w:color="000000"/>
              <w:bottom w:val="single" w:sz="4" w:space="0" w:color="000000"/>
            </w:tcBorders>
          </w:tcPr>
          <w:p w14:paraId="736CAB70" w14:textId="77777777" w:rsidR="00396F9D" w:rsidRPr="000C72EE" w:rsidRDefault="00396F9D" w:rsidP="00CB48FD">
            <w:pPr>
              <w:tabs>
                <w:tab w:val="center" w:pos="7371"/>
              </w:tabs>
              <w:spacing w:after="120" w:line="480" w:lineRule="auto"/>
              <w:rPr>
                <w:rFonts w:ascii="Palatino Linotype" w:eastAsia="Times New Roman" w:hAnsi="Palatino Linotype" w:cs="Times New Roman"/>
                <w:bCs/>
                <w:szCs w:val="24"/>
              </w:rPr>
            </w:pPr>
            <w:r w:rsidRPr="000C72EE">
              <w:rPr>
                <w:rFonts w:ascii="Palatino Linotype" w:eastAsia="Times New Roman" w:hAnsi="Palatino Linotype" w:cs="Times New Roman"/>
                <w:bCs/>
                <w:szCs w:val="24"/>
              </w:rPr>
              <w:t>Servizio TECNICO URBANISTICA</w:t>
            </w:r>
          </w:p>
        </w:tc>
        <w:tc>
          <w:tcPr>
            <w:tcW w:w="2127" w:type="dxa"/>
            <w:tcBorders>
              <w:top w:val="single" w:sz="4" w:space="0" w:color="000000"/>
              <w:left w:val="single" w:sz="4" w:space="0" w:color="000000"/>
              <w:bottom w:val="single" w:sz="4" w:space="0" w:color="000000"/>
            </w:tcBorders>
          </w:tcPr>
          <w:p w14:paraId="2AF9D47C" w14:textId="77777777" w:rsidR="00396F9D" w:rsidRPr="000C72EE" w:rsidRDefault="00396F9D" w:rsidP="00CB48FD">
            <w:pPr>
              <w:tabs>
                <w:tab w:val="center" w:pos="7371"/>
              </w:tabs>
              <w:spacing w:after="120" w:line="480" w:lineRule="auto"/>
              <w:rPr>
                <w:rFonts w:ascii="Palatino Linotype" w:eastAsia="Times New Roman" w:hAnsi="Palatino Linotype" w:cs="Times New Roman"/>
                <w:bCs/>
                <w:szCs w:val="24"/>
              </w:rPr>
            </w:pPr>
            <w:r w:rsidRPr="000C72EE">
              <w:rPr>
                <w:rFonts w:ascii="Palatino Linotype" w:eastAsia="Times New Roman" w:hAnsi="Palatino Linotype" w:cs="Times New Roman"/>
                <w:bCs/>
                <w:szCs w:val="24"/>
              </w:rPr>
              <w:t>1</w:t>
            </w:r>
          </w:p>
        </w:tc>
        <w:tc>
          <w:tcPr>
            <w:tcW w:w="1808" w:type="dxa"/>
            <w:tcBorders>
              <w:top w:val="single" w:sz="4" w:space="0" w:color="000000"/>
              <w:left w:val="single" w:sz="4" w:space="0" w:color="000000"/>
              <w:bottom w:val="single" w:sz="4" w:space="0" w:color="000000"/>
              <w:right w:val="single" w:sz="4" w:space="0" w:color="000000"/>
            </w:tcBorders>
          </w:tcPr>
          <w:p w14:paraId="4D5968FF"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0</w:t>
            </w:r>
          </w:p>
        </w:tc>
      </w:tr>
      <w:tr w:rsidR="00396F9D" w:rsidRPr="002A124D" w14:paraId="7C5FEF65" w14:textId="77777777" w:rsidTr="00CB48FD">
        <w:tc>
          <w:tcPr>
            <w:tcW w:w="6345" w:type="dxa"/>
            <w:tcBorders>
              <w:top w:val="single" w:sz="4" w:space="0" w:color="000000"/>
              <w:left w:val="single" w:sz="4" w:space="0" w:color="000000"/>
              <w:bottom w:val="single" w:sz="4" w:space="0" w:color="000000"/>
            </w:tcBorders>
          </w:tcPr>
          <w:p w14:paraId="64EFBE89" w14:textId="77777777" w:rsidR="00396F9D" w:rsidRPr="000C72EE" w:rsidRDefault="00396F9D" w:rsidP="00CB48FD">
            <w:pPr>
              <w:tabs>
                <w:tab w:val="center" w:pos="7371"/>
              </w:tabs>
              <w:spacing w:after="120" w:line="480" w:lineRule="auto"/>
              <w:rPr>
                <w:rFonts w:ascii="Palatino Linotype" w:eastAsia="Times New Roman" w:hAnsi="Palatino Linotype" w:cs="Times New Roman"/>
                <w:bCs/>
                <w:szCs w:val="24"/>
              </w:rPr>
            </w:pPr>
            <w:r w:rsidRPr="000C72EE">
              <w:rPr>
                <w:rFonts w:ascii="Palatino Linotype" w:eastAsia="Times New Roman" w:hAnsi="Palatino Linotype" w:cs="Times New Roman"/>
                <w:bCs/>
                <w:szCs w:val="24"/>
              </w:rPr>
              <w:lastRenderedPageBreak/>
              <w:t>Servizio AFFARI GENERALI E PERSONALE (Segretario Unionale)</w:t>
            </w:r>
          </w:p>
        </w:tc>
        <w:tc>
          <w:tcPr>
            <w:tcW w:w="2127" w:type="dxa"/>
            <w:tcBorders>
              <w:top w:val="single" w:sz="4" w:space="0" w:color="000000"/>
              <w:left w:val="single" w:sz="4" w:space="0" w:color="000000"/>
              <w:bottom w:val="single" w:sz="4" w:space="0" w:color="000000"/>
            </w:tcBorders>
          </w:tcPr>
          <w:p w14:paraId="5C6D7758" w14:textId="77777777" w:rsidR="00396F9D" w:rsidRPr="000C72EE" w:rsidRDefault="00396F9D" w:rsidP="00CB48FD">
            <w:pPr>
              <w:tabs>
                <w:tab w:val="center" w:pos="7371"/>
              </w:tabs>
              <w:spacing w:after="120" w:line="480" w:lineRule="auto"/>
              <w:rPr>
                <w:rFonts w:ascii="Palatino Linotype" w:eastAsia="Times New Roman" w:hAnsi="Palatino Linotype" w:cs="Times New Roman"/>
                <w:bCs/>
                <w:szCs w:val="24"/>
              </w:rPr>
            </w:pPr>
            <w:r w:rsidRPr="000C72EE">
              <w:rPr>
                <w:rFonts w:ascii="Palatino Linotype" w:eastAsia="Times New Roman" w:hAnsi="Palatino Linotype" w:cs="Times New Roman"/>
                <w:bCs/>
                <w:szCs w:val="24"/>
              </w:rPr>
              <w:t>1</w:t>
            </w:r>
          </w:p>
        </w:tc>
        <w:tc>
          <w:tcPr>
            <w:tcW w:w="1808" w:type="dxa"/>
            <w:tcBorders>
              <w:top w:val="single" w:sz="4" w:space="0" w:color="000000"/>
              <w:left w:val="single" w:sz="4" w:space="0" w:color="000000"/>
              <w:bottom w:val="single" w:sz="4" w:space="0" w:color="000000"/>
              <w:right w:val="single" w:sz="4" w:space="0" w:color="000000"/>
            </w:tcBorders>
          </w:tcPr>
          <w:p w14:paraId="6E88422F"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0</w:t>
            </w:r>
          </w:p>
        </w:tc>
      </w:tr>
    </w:tbl>
    <w:p w14:paraId="076FEC4F" w14:textId="77777777" w:rsidR="00396F9D" w:rsidRDefault="00396F9D" w:rsidP="00396F9D">
      <w:pPr>
        <w:tabs>
          <w:tab w:val="center" w:pos="7371"/>
        </w:tabs>
        <w:spacing w:after="120" w:line="480" w:lineRule="auto"/>
        <w:rPr>
          <w:rFonts w:ascii="Palatino Linotype" w:eastAsia="Times New Roman" w:hAnsi="Palatino Linotype" w:cs="Times New Roman"/>
          <w:bCs/>
          <w:szCs w:val="24"/>
        </w:rPr>
      </w:pPr>
    </w:p>
    <w:tbl>
      <w:tblPr>
        <w:tblW w:w="10260" w:type="dxa"/>
        <w:tblInd w:w="-15" w:type="dxa"/>
        <w:tblLayout w:type="fixed"/>
        <w:tblCellMar>
          <w:left w:w="0" w:type="dxa"/>
          <w:right w:w="0" w:type="dxa"/>
        </w:tblCellMar>
        <w:tblLook w:val="0000" w:firstRow="0" w:lastRow="0" w:firstColumn="0" w:lastColumn="0" w:noHBand="0" w:noVBand="0"/>
      </w:tblPr>
      <w:tblGrid>
        <w:gridCol w:w="2943"/>
        <w:gridCol w:w="3686"/>
        <w:gridCol w:w="1559"/>
        <w:gridCol w:w="1600"/>
        <w:gridCol w:w="472"/>
      </w:tblGrid>
      <w:tr w:rsidR="00396F9D" w:rsidRPr="002A124D" w14:paraId="033E2A60" w14:textId="77777777" w:rsidTr="00CB48FD">
        <w:tc>
          <w:tcPr>
            <w:tcW w:w="2943" w:type="dxa"/>
            <w:tcBorders>
              <w:top w:val="single" w:sz="4" w:space="0" w:color="000000"/>
              <w:left w:val="single" w:sz="4" w:space="0" w:color="000000"/>
              <w:bottom w:val="single" w:sz="4" w:space="0" w:color="000000"/>
            </w:tcBorders>
          </w:tcPr>
          <w:p w14:paraId="6BC9347D"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p>
          <w:p w14:paraId="20EF9C8B"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Obiettivo</w:t>
            </w:r>
          </w:p>
        </w:tc>
        <w:tc>
          <w:tcPr>
            <w:tcW w:w="3686" w:type="dxa"/>
            <w:tcBorders>
              <w:top w:val="single" w:sz="4" w:space="0" w:color="000000"/>
              <w:left w:val="single" w:sz="4" w:space="0" w:color="000000"/>
              <w:bottom w:val="single" w:sz="4" w:space="0" w:color="000000"/>
            </w:tcBorders>
          </w:tcPr>
          <w:p w14:paraId="23554129"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p>
          <w:p w14:paraId="18B1925F"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Azioni</w:t>
            </w:r>
          </w:p>
        </w:tc>
        <w:tc>
          <w:tcPr>
            <w:tcW w:w="1559" w:type="dxa"/>
            <w:tcBorders>
              <w:top w:val="single" w:sz="4" w:space="0" w:color="000000"/>
              <w:left w:val="single" w:sz="4" w:space="0" w:color="000000"/>
              <w:bottom w:val="single" w:sz="4" w:space="0" w:color="000000"/>
            </w:tcBorders>
          </w:tcPr>
          <w:p w14:paraId="6F48FD22"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p>
          <w:p w14:paraId="5E23EB26"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Tempi</w:t>
            </w:r>
          </w:p>
        </w:tc>
        <w:tc>
          <w:tcPr>
            <w:tcW w:w="1600" w:type="dxa"/>
            <w:tcBorders>
              <w:top w:val="single" w:sz="4" w:space="0" w:color="000000"/>
              <w:left w:val="single" w:sz="4" w:space="0" w:color="000000"/>
              <w:bottom w:val="single" w:sz="4" w:space="0" w:color="000000"/>
            </w:tcBorders>
          </w:tcPr>
          <w:p w14:paraId="2300FCEE"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p>
          <w:p w14:paraId="77F3EE0E"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Dipendenti</w:t>
            </w:r>
          </w:p>
        </w:tc>
        <w:tc>
          <w:tcPr>
            <w:tcW w:w="472" w:type="dxa"/>
            <w:tcBorders>
              <w:left w:val="single" w:sz="4" w:space="0" w:color="000000"/>
            </w:tcBorders>
          </w:tcPr>
          <w:p w14:paraId="640086BF"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p>
        </w:tc>
      </w:tr>
      <w:tr w:rsidR="00396F9D" w:rsidRPr="002A124D" w14:paraId="2F418A84" w14:textId="77777777" w:rsidTr="00CB48FD">
        <w:tc>
          <w:tcPr>
            <w:tcW w:w="2943" w:type="dxa"/>
            <w:tcBorders>
              <w:top w:val="single" w:sz="4" w:space="0" w:color="000000"/>
              <w:left w:val="single" w:sz="4" w:space="0" w:color="000000"/>
              <w:bottom w:val="single" w:sz="4" w:space="0" w:color="000000"/>
            </w:tcBorders>
            <w:vAlign w:val="center"/>
          </w:tcPr>
          <w:p w14:paraId="02EC6851"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 xml:space="preserve">Formazione: </w:t>
            </w:r>
          </w:p>
          <w:p w14:paraId="426A8AD3"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Percorsi formativi finalizzati all’accrescimento professionale</w:t>
            </w:r>
          </w:p>
        </w:tc>
        <w:tc>
          <w:tcPr>
            <w:tcW w:w="3686" w:type="dxa"/>
            <w:tcBorders>
              <w:top w:val="single" w:sz="4" w:space="0" w:color="000000"/>
              <w:left w:val="single" w:sz="4" w:space="0" w:color="000000"/>
              <w:bottom w:val="single" w:sz="4" w:space="0" w:color="000000"/>
            </w:tcBorders>
            <w:vAlign w:val="center"/>
          </w:tcPr>
          <w:p w14:paraId="0C5C8F40"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Programmare attività formative che possano consentire a tutti i dipendenti di sviluppare una crescita professionale, La formazione dovrà riguardare, oltre all’aggiornamento professionale, anche le tecniche di lavoro di gruppo e il sistema delle pari opportunità.</w:t>
            </w:r>
          </w:p>
          <w:p w14:paraId="55F04AD6"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 xml:space="preserve">Predisporre riunioni di Area con ciascun Responsabile al fine di monitorare la situazione del personale e proporre iniziative formative specifiche in base alle effettive esigenze, da vagliare in sede di </w:t>
            </w:r>
            <w:proofErr w:type="gramStart"/>
            <w:r w:rsidRPr="002A124D">
              <w:rPr>
                <w:rFonts w:ascii="Palatino Linotype" w:eastAsia="Times New Roman" w:hAnsi="Palatino Linotype" w:cs="Times New Roman"/>
                <w:bCs/>
                <w:szCs w:val="24"/>
              </w:rPr>
              <w:t>incontri  dei</w:t>
            </w:r>
            <w:proofErr w:type="gramEnd"/>
            <w:r w:rsidRPr="002A124D">
              <w:rPr>
                <w:rFonts w:ascii="Palatino Linotype" w:eastAsia="Times New Roman" w:hAnsi="Palatino Linotype" w:cs="Times New Roman"/>
                <w:bCs/>
                <w:szCs w:val="24"/>
              </w:rPr>
              <w:t xml:space="preserve"> Responsabili.</w:t>
            </w:r>
          </w:p>
        </w:tc>
        <w:tc>
          <w:tcPr>
            <w:tcW w:w="1559" w:type="dxa"/>
            <w:tcBorders>
              <w:top w:val="single" w:sz="4" w:space="0" w:color="000000"/>
              <w:left w:val="single" w:sz="4" w:space="0" w:color="000000"/>
              <w:bottom w:val="single" w:sz="4" w:space="0" w:color="000000"/>
            </w:tcBorders>
            <w:vAlign w:val="center"/>
          </w:tcPr>
          <w:p w14:paraId="7E73E39B"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 xml:space="preserve"> </w:t>
            </w:r>
          </w:p>
          <w:p w14:paraId="3EEFB8C8"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 xml:space="preserve">Triennale </w:t>
            </w:r>
          </w:p>
          <w:p w14:paraId="0D9093B8"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Aggiornamento annuale</w:t>
            </w:r>
          </w:p>
        </w:tc>
        <w:tc>
          <w:tcPr>
            <w:tcW w:w="1600" w:type="dxa"/>
            <w:tcBorders>
              <w:top w:val="single" w:sz="4" w:space="0" w:color="000000"/>
              <w:left w:val="single" w:sz="4" w:space="0" w:color="000000"/>
              <w:bottom w:val="single" w:sz="4" w:space="0" w:color="000000"/>
            </w:tcBorders>
            <w:vAlign w:val="center"/>
          </w:tcPr>
          <w:p w14:paraId="7E7FC31F"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Tutti i dipendenti</w:t>
            </w:r>
          </w:p>
        </w:tc>
        <w:tc>
          <w:tcPr>
            <w:tcW w:w="472" w:type="dxa"/>
            <w:tcBorders>
              <w:left w:val="single" w:sz="4" w:space="0" w:color="000000"/>
            </w:tcBorders>
          </w:tcPr>
          <w:p w14:paraId="066D6ED5"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p>
        </w:tc>
      </w:tr>
      <w:tr w:rsidR="00396F9D" w:rsidRPr="002A124D" w14:paraId="49DF6035" w14:textId="77777777" w:rsidTr="00CB48FD">
        <w:tc>
          <w:tcPr>
            <w:tcW w:w="2943" w:type="dxa"/>
            <w:tcBorders>
              <w:top w:val="single" w:sz="4" w:space="0" w:color="000000"/>
              <w:left w:val="single" w:sz="4" w:space="0" w:color="000000"/>
              <w:bottom w:val="single" w:sz="4" w:space="0" w:color="000000"/>
            </w:tcBorders>
            <w:vAlign w:val="center"/>
          </w:tcPr>
          <w:p w14:paraId="006BB915"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Performance e merito:</w:t>
            </w:r>
          </w:p>
          <w:p w14:paraId="3FA806E9"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lastRenderedPageBreak/>
              <w:t xml:space="preserve">Sviluppo sistemi di valutazione finalizzati allo sviluppo professionale e delle carriere del personale dipendente  </w:t>
            </w:r>
          </w:p>
        </w:tc>
        <w:tc>
          <w:tcPr>
            <w:tcW w:w="3686" w:type="dxa"/>
            <w:tcBorders>
              <w:top w:val="single" w:sz="4" w:space="0" w:color="000000"/>
              <w:left w:val="single" w:sz="4" w:space="0" w:color="000000"/>
              <w:bottom w:val="single" w:sz="4" w:space="0" w:color="000000"/>
            </w:tcBorders>
            <w:vAlign w:val="center"/>
          </w:tcPr>
          <w:p w14:paraId="2C1DFFE6"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lastRenderedPageBreak/>
              <w:t xml:space="preserve">Stimolare e attuale </w:t>
            </w:r>
            <w:proofErr w:type="gramStart"/>
            <w:r w:rsidRPr="002A124D">
              <w:rPr>
                <w:rFonts w:ascii="Palatino Linotype" w:eastAsia="Times New Roman" w:hAnsi="Palatino Linotype" w:cs="Times New Roman"/>
                <w:bCs/>
                <w:szCs w:val="24"/>
              </w:rPr>
              <w:t>la  valorizzazione</w:t>
            </w:r>
            <w:proofErr w:type="gramEnd"/>
            <w:r w:rsidRPr="002A124D">
              <w:rPr>
                <w:rFonts w:ascii="Palatino Linotype" w:eastAsia="Times New Roman" w:hAnsi="Palatino Linotype" w:cs="Times New Roman"/>
                <w:bCs/>
                <w:szCs w:val="24"/>
              </w:rPr>
              <w:t xml:space="preserve"> delle professionalità attraverso la </w:t>
            </w:r>
            <w:r w:rsidRPr="002A124D">
              <w:rPr>
                <w:rFonts w:ascii="Palatino Linotype" w:eastAsia="Times New Roman" w:hAnsi="Palatino Linotype" w:cs="Times New Roman"/>
                <w:bCs/>
                <w:szCs w:val="24"/>
              </w:rPr>
              <w:lastRenderedPageBreak/>
              <w:t xml:space="preserve">valutazione del merito e delle performance individuali  </w:t>
            </w:r>
          </w:p>
          <w:p w14:paraId="15EEE509"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Utilizzare sistemi premianti selettivi, secondo logiche meritocratiche che valorizzino i dipendenti meritevoli attraverso l’attribuzione selettiva degli incentivi economici, senza discriminazioni di genere.</w:t>
            </w:r>
          </w:p>
          <w:p w14:paraId="08D552E1"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Affidamento degli incarichi di responsabilità sulla base della professionalità e dell’esperienza acquisita, senza discriminazioni. Nel caso di analoga qualificazione e preparazione professionale, prevedere ulteriori parametri valutativi per non discriminare il sesso femminile rispetto a quello maschile</w:t>
            </w:r>
          </w:p>
        </w:tc>
        <w:tc>
          <w:tcPr>
            <w:tcW w:w="1559" w:type="dxa"/>
            <w:tcBorders>
              <w:top w:val="single" w:sz="4" w:space="0" w:color="000000"/>
              <w:left w:val="single" w:sz="4" w:space="0" w:color="000000"/>
              <w:bottom w:val="single" w:sz="4" w:space="0" w:color="000000"/>
            </w:tcBorders>
            <w:vAlign w:val="center"/>
          </w:tcPr>
          <w:p w14:paraId="7AD93596"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lastRenderedPageBreak/>
              <w:t xml:space="preserve">Triennale </w:t>
            </w:r>
          </w:p>
          <w:p w14:paraId="79E9B001"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lastRenderedPageBreak/>
              <w:t>Aggiornamento annuale</w:t>
            </w:r>
          </w:p>
        </w:tc>
        <w:tc>
          <w:tcPr>
            <w:tcW w:w="1600" w:type="dxa"/>
            <w:tcBorders>
              <w:top w:val="single" w:sz="4" w:space="0" w:color="000000"/>
              <w:left w:val="single" w:sz="4" w:space="0" w:color="000000"/>
              <w:bottom w:val="single" w:sz="4" w:space="0" w:color="000000"/>
            </w:tcBorders>
            <w:vAlign w:val="center"/>
          </w:tcPr>
          <w:p w14:paraId="15120197"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lastRenderedPageBreak/>
              <w:t>Tutti i dipendenti</w:t>
            </w:r>
          </w:p>
        </w:tc>
        <w:tc>
          <w:tcPr>
            <w:tcW w:w="472" w:type="dxa"/>
            <w:tcBorders>
              <w:left w:val="single" w:sz="4" w:space="0" w:color="000000"/>
            </w:tcBorders>
          </w:tcPr>
          <w:p w14:paraId="6ED3AEA2"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p>
        </w:tc>
      </w:tr>
      <w:tr w:rsidR="00396F9D" w:rsidRPr="002A124D" w14:paraId="4ACC7397" w14:textId="77777777" w:rsidTr="00CB48FD">
        <w:tc>
          <w:tcPr>
            <w:tcW w:w="2943" w:type="dxa"/>
            <w:tcBorders>
              <w:top w:val="single" w:sz="4" w:space="0" w:color="000000"/>
              <w:left w:val="single" w:sz="4" w:space="0" w:color="000000"/>
              <w:bottom w:val="single" w:sz="4" w:space="0" w:color="000000"/>
            </w:tcBorders>
            <w:vAlign w:val="center"/>
          </w:tcPr>
          <w:p w14:paraId="197AA5B3"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Famiglia e lavoro:</w:t>
            </w:r>
          </w:p>
          <w:p w14:paraId="113392B5"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 xml:space="preserve">Favorire lo sviluppo di un sistema che consenta alle “lavoratrici” di conciliare al </w:t>
            </w:r>
            <w:r w:rsidRPr="002A124D">
              <w:rPr>
                <w:rFonts w:ascii="Palatino Linotype" w:eastAsia="Times New Roman" w:hAnsi="Palatino Linotype" w:cs="Times New Roman"/>
                <w:bCs/>
                <w:szCs w:val="24"/>
              </w:rPr>
              <w:lastRenderedPageBreak/>
              <w:t>meglio il lavoro con gli impegni familiari</w:t>
            </w:r>
          </w:p>
        </w:tc>
        <w:tc>
          <w:tcPr>
            <w:tcW w:w="3686" w:type="dxa"/>
            <w:tcBorders>
              <w:top w:val="single" w:sz="4" w:space="0" w:color="000000"/>
              <w:left w:val="single" w:sz="4" w:space="0" w:color="000000"/>
              <w:bottom w:val="single" w:sz="4" w:space="0" w:color="000000"/>
            </w:tcBorders>
            <w:vAlign w:val="center"/>
          </w:tcPr>
          <w:p w14:paraId="028FD298"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lastRenderedPageBreak/>
              <w:t xml:space="preserve">Strutturare un </w:t>
            </w:r>
            <w:proofErr w:type="gramStart"/>
            <w:r w:rsidRPr="002A124D">
              <w:rPr>
                <w:rFonts w:ascii="Palatino Linotype" w:eastAsia="Times New Roman" w:hAnsi="Palatino Linotype" w:cs="Times New Roman"/>
                <w:bCs/>
                <w:szCs w:val="24"/>
              </w:rPr>
              <w:t>sistema  tale</w:t>
            </w:r>
            <w:proofErr w:type="gramEnd"/>
            <w:r w:rsidRPr="002A124D">
              <w:rPr>
                <w:rFonts w:ascii="Palatino Linotype" w:eastAsia="Times New Roman" w:hAnsi="Palatino Linotype" w:cs="Times New Roman"/>
                <w:bCs/>
                <w:szCs w:val="24"/>
              </w:rPr>
              <w:t xml:space="preserve"> da consentire una migliore conciliazione tra lavoro e impegni familiari, anche attraverso idonea regolamentazione finalizzata </w:t>
            </w:r>
            <w:proofErr w:type="gramStart"/>
            <w:r w:rsidRPr="002A124D">
              <w:rPr>
                <w:rFonts w:ascii="Palatino Linotype" w:eastAsia="Times New Roman" w:hAnsi="Palatino Linotype" w:cs="Times New Roman"/>
                <w:bCs/>
                <w:szCs w:val="24"/>
              </w:rPr>
              <w:t>a  :</w:t>
            </w:r>
            <w:proofErr w:type="gramEnd"/>
          </w:p>
          <w:p w14:paraId="628EC478"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lastRenderedPageBreak/>
              <w:t>La migliore gestione delle ferie;</w:t>
            </w:r>
          </w:p>
          <w:p w14:paraId="1A1412BB"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L’articolazione dell’orario di lavoro;</w:t>
            </w:r>
          </w:p>
          <w:p w14:paraId="0F1F3FF7"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La flessibilità oraria;</w:t>
            </w:r>
          </w:p>
          <w:p w14:paraId="3CE5AAC4"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La gestione della banca delle ore</w:t>
            </w:r>
          </w:p>
        </w:tc>
        <w:tc>
          <w:tcPr>
            <w:tcW w:w="1559" w:type="dxa"/>
            <w:tcBorders>
              <w:top w:val="single" w:sz="4" w:space="0" w:color="000000"/>
              <w:left w:val="single" w:sz="4" w:space="0" w:color="000000"/>
              <w:bottom w:val="single" w:sz="4" w:space="0" w:color="000000"/>
            </w:tcBorders>
            <w:vAlign w:val="center"/>
          </w:tcPr>
          <w:p w14:paraId="51D4F858"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lastRenderedPageBreak/>
              <w:t>Permanente</w:t>
            </w:r>
          </w:p>
        </w:tc>
        <w:tc>
          <w:tcPr>
            <w:tcW w:w="1600" w:type="dxa"/>
            <w:tcBorders>
              <w:top w:val="single" w:sz="4" w:space="0" w:color="000000"/>
              <w:left w:val="single" w:sz="4" w:space="0" w:color="000000"/>
              <w:bottom w:val="single" w:sz="4" w:space="0" w:color="000000"/>
            </w:tcBorders>
            <w:vAlign w:val="center"/>
          </w:tcPr>
          <w:p w14:paraId="72482B52"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Tutti i dipendenti</w:t>
            </w:r>
          </w:p>
        </w:tc>
        <w:tc>
          <w:tcPr>
            <w:tcW w:w="472" w:type="dxa"/>
            <w:tcBorders>
              <w:left w:val="single" w:sz="4" w:space="0" w:color="000000"/>
            </w:tcBorders>
          </w:tcPr>
          <w:p w14:paraId="55B2E372"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p>
        </w:tc>
      </w:tr>
      <w:tr w:rsidR="00396F9D" w:rsidRPr="002A124D" w14:paraId="4AA8DC0D" w14:textId="77777777" w:rsidTr="00CB48FD">
        <w:tc>
          <w:tcPr>
            <w:tcW w:w="2943" w:type="dxa"/>
            <w:tcBorders>
              <w:top w:val="single" w:sz="4" w:space="0" w:color="000000"/>
              <w:left w:val="single" w:sz="4" w:space="0" w:color="000000"/>
              <w:bottom w:val="single" w:sz="4" w:space="0" w:color="000000"/>
            </w:tcBorders>
            <w:vAlign w:val="center"/>
          </w:tcPr>
          <w:p w14:paraId="207B4644"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Garanzia del rispetto della pari opportunità: nelle procedure di reclutamento del personale</w:t>
            </w:r>
          </w:p>
        </w:tc>
        <w:tc>
          <w:tcPr>
            <w:tcW w:w="3686" w:type="dxa"/>
            <w:tcBorders>
              <w:top w:val="single" w:sz="4" w:space="0" w:color="000000"/>
              <w:left w:val="single" w:sz="4" w:space="0" w:color="000000"/>
              <w:bottom w:val="single" w:sz="4" w:space="0" w:color="000000"/>
            </w:tcBorders>
            <w:vAlign w:val="center"/>
          </w:tcPr>
          <w:p w14:paraId="34437373"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Assicurare nelle Commissioni la presenza di almeno un terzo dei componenti di sesso femminile.</w:t>
            </w:r>
          </w:p>
          <w:p w14:paraId="1AB0C6F7"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Redazione dei bandi in cui sia richiamato espressamente il rispetto della normativa in tema di pari opportunità.</w:t>
            </w:r>
          </w:p>
        </w:tc>
        <w:tc>
          <w:tcPr>
            <w:tcW w:w="1559" w:type="dxa"/>
            <w:tcBorders>
              <w:top w:val="single" w:sz="4" w:space="0" w:color="000000"/>
              <w:left w:val="single" w:sz="4" w:space="0" w:color="000000"/>
              <w:bottom w:val="single" w:sz="4" w:space="0" w:color="000000"/>
            </w:tcBorders>
            <w:vAlign w:val="center"/>
          </w:tcPr>
          <w:p w14:paraId="0ACDB073"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Permanente</w:t>
            </w:r>
          </w:p>
        </w:tc>
        <w:tc>
          <w:tcPr>
            <w:tcW w:w="1600" w:type="dxa"/>
            <w:tcBorders>
              <w:top w:val="single" w:sz="4" w:space="0" w:color="000000"/>
              <w:left w:val="single" w:sz="4" w:space="0" w:color="000000"/>
              <w:bottom w:val="single" w:sz="4" w:space="0" w:color="000000"/>
            </w:tcBorders>
            <w:vAlign w:val="center"/>
          </w:tcPr>
          <w:p w14:paraId="0FF6E088"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Tutti i dipendenti</w:t>
            </w:r>
          </w:p>
        </w:tc>
        <w:tc>
          <w:tcPr>
            <w:tcW w:w="472" w:type="dxa"/>
            <w:tcBorders>
              <w:left w:val="single" w:sz="4" w:space="0" w:color="000000"/>
            </w:tcBorders>
          </w:tcPr>
          <w:p w14:paraId="0D107017"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p>
        </w:tc>
      </w:tr>
      <w:tr w:rsidR="00396F9D" w:rsidRPr="002A124D" w14:paraId="4DE85747" w14:textId="77777777" w:rsidTr="00CB48FD">
        <w:tc>
          <w:tcPr>
            <w:tcW w:w="2943" w:type="dxa"/>
            <w:tcBorders>
              <w:top w:val="single" w:sz="4" w:space="0" w:color="000000"/>
              <w:left w:val="single" w:sz="4" w:space="0" w:color="000000"/>
              <w:bottom w:val="single" w:sz="4" w:space="0" w:color="000000"/>
            </w:tcBorders>
            <w:vAlign w:val="center"/>
          </w:tcPr>
          <w:p w14:paraId="4B0EB351"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Promozione della cultura di genere</w:t>
            </w:r>
          </w:p>
        </w:tc>
        <w:tc>
          <w:tcPr>
            <w:tcW w:w="3686" w:type="dxa"/>
            <w:tcBorders>
              <w:top w:val="single" w:sz="4" w:space="0" w:color="000000"/>
              <w:left w:val="single" w:sz="4" w:space="0" w:color="000000"/>
              <w:bottom w:val="single" w:sz="4" w:space="0" w:color="000000"/>
            </w:tcBorders>
            <w:vAlign w:val="center"/>
          </w:tcPr>
          <w:p w14:paraId="0E02070A"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Sensibilizzazione del personale sulla differenza di genere per superare gli stereotipi cultural e sviluppare, in pari misura, le potenzialità di ciascuno.</w:t>
            </w:r>
          </w:p>
          <w:p w14:paraId="7ED4D196"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p>
        </w:tc>
        <w:tc>
          <w:tcPr>
            <w:tcW w:w="1559" w:type="dxa"/>
            <w:tcBorders>
              <w:top w:val="single" w:sz="4" w:space="0" w:color="000000"/>
              <w:left w:val="single" w:sz="4" w:space="0" w:color="000000"/>
              <w:bottom w:val="single" w:sz="4" w:space="0" w:color="000000"/>
            </w:tcBorders>
            <w:vAlign w:val="center"/>
          </w:tcPr>
          <w:p w14:paraId="45796838"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Permanente</w:t>
            </w:r>
          </w:p>
        </w:tc>
        <w:tc>
          <w:tcPr>
            <w:tcW w:w="1600" w:type="dxa"/>
            <w:tcBorders>
              <w:top w:val="single" w:sz="4" w:space="0" w:color="000000"/>
              <w:left w:val="single" w:sz="4" w:space="0" w:color="000000"/>
              <w:bottom w:val="single" w:sz="4" w:space="0" w:color="000000"/>
            </w:tcBorders>
            <w:vAlign w:val="center"/>
          </w:tcPr>
          <w:p w14:paraId="5DA00894"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r w:rsidRPr="002A124D">
              <w:rPr>
                <w:rFonts w:ascii="Palatino Linotype" w:eastAsia="Times New Roman" w:hAnsi="Palatino Linotype" w:cs="Times New Roman"/>
                <w:bCs/>
                <w:szCs w:val="24"/>
              </w:rPr>
              <w:t>Tutti i dipendenti</w:t>
            </w:r>
          </w:p>
        </w:tc>
        <w:tc>
          <w:tcPr>
            <w:tcW w:w="472" w:type="dxa"/>
            <w:tcBorders>
              <w:left w:val="single" w:sz="4" w:space="0" w:color="000000"/>
            </w:tcBorders>
          </w:tcPr>
          <w:p w14:paraId="5F76069B"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szCs w:val="24"/>
              </w:rPr>
            </w:pPr>
          </w:p>
        </w:tc>
      </w:tr>
    </w:tbl>
    <w:p w14:paraId="65691901" w14:textId="77777777" w:rsidR="00396F9D" w:rsidRPr="002A124D" w:rsidRDefault="00396F9D" w:rsidP="00396F9D">
      <w:pPr>
        <w:spacing w:after="0" w:line="240" w:lineRule="auto"/>
        <w:rPr>
          <w:rFonts w:ascii="Palatino Linotype" w:eastAsia="Calibri" w:hAnsi="Palatino Linotype" w:cs="Times New Roman"/>
          <w:bCs/>
          <w:szCs w:val="24"/>
        </w:rPr>
      </w:pPr>
    </w:p>
    <w:p w14:paraId="0BF12FE1" w14:textId="77777777" w:rsidR="00396F9D" w:rsidRPr="002A124D" w:rsidRDefault="00396F9D" w:rsidP="00396F9D">
      <w:pPr>
        <w:spacing w:after="200" w:line="276" w:lineRule="auto"/>
        <w:jc w:val="center"/>
        <w:rPr>
          <w:rFonts w:ascii="Palatino Linotype" w:eastAsia="Calibri" w:hAnsi="Palatino Linotype" w:cs="Calibri"/>
          <w:b/>
          <w:sz w:val="24"/>
          <w:szCs w:val="24"/>
        </w:rPr>
      </w:pPr>
      <w:r w:rsidRPr="002A124D">
        <w:rPr>
          <w:rFonts w:ascii="Palatino Linotype" w:eastAsia="Calibri" w:hAnsi="Palatino Linotype" w:cs="Calibri"/>
          <w:b/>
        </w:rPr>
        <w:t>SERVIZIO PERSONALE</w:t>
      </w:r>
    </w:p>
    <w:p w14:paraId="3EC68F86" w14:textId="77777777" w:rsidR="00396F9D" w:rsidRPr="002A124D" w:rsidRDefault="00396F9D" w:rsidP="00396F9D">
      <w:pPr>
        <w:autoSpaceDE w:val="0"/>
        <w:autoSpaceDN w:val="0"/>
        <w:spacing w:after="0" w:line="280" w:lineRule="exact"/>
        <w:jc w:val="both"/>
        <w:rPr>
          <w:rFonts w:ascii="Palatino Linotype" w:eastAsia="Times New Roman" w:hAnsi="Palatino Linotype" w:cs="Calibri"/>
          <w:noProof/>
          <w:sz w:val="24"/>
          <w:szCs w:val="24"/>
          <w:lang w:eastAsia="it-IT"/>
        </w:rPr>
      </w:pPr>
    </w:p>
    <w:p w14:paraId="627CD7C7" w14:textId="77777777" w:rsidR="00396F9D" w:rsidRPr="002A124D" w:rsidRDefault="00396F9D" w:rsidP="00396F9D">
      <w:pPr>
        <w:autoSpaceDE w:val="0"/>
        <w:autoSpaceDN w:val="0"/>
        <w:spacing w:after="0" w:line="240" w:lineRule="auto"/>
        <w:jc w:val="center"/>
        <w:rPr>
          <w:rFonts w:ascii="Palatino Linotype" w:eastAsia="Times New Roman" w:hAnsi="Palatino Linotype" w:cs="Calibri"/>
          <w:b/>
          <w:noProof/>
          <w:sz w:val="24"/>
          <w:szCs w:val="24"/>
          <w:lang w:eastAsia="it-IT"/>
        </w:rPr>
      </w:pPr>
      <w:r w:rsidRPr="002A124D">
        <w:rPr>
          <w:rFonts w:ascii="Palatino Linotype" w:eastAsia="Times New Roman" w:hAnsi="Palatino Linotype" w:cs="Calibri"/>
          <w:b/>
          <w:noProof/>
          <w:sz w:val="24"/>
          <w:szCs w:val="24"/>
          <w:lang w:eastAsia="it-IT"/>
        </w:rPr>
        <w:t>DOTAZIONE ORGANICA DELL’ENTE</w:t>
      </w:r>
    </w:p>
    <w:p w14:paraId="6A6ECDCC" w14:textId="77777777" w:rsidR="00396F9D" w:rsidRPr="002A124D" w:rsidRDefault="00396F9D" w:rsidP="00396F9D">
      <w:pPr>
        <w:tabs>
          <w:tab w:val="center" w:pos="7371"/>
        </w:tabs>
        <w:spacing w:after="120" w:line="276" w:lineRule="auto"/>
        <w:rPr>
          <w:rFonts w:ascii="Palatino Linotype" w:eastAsia="Times New Roman" w:hAnsi="Palatino Linotype" w:cs="Times New Roman"/>
          <w:bCs/>
          <w:szCs w:val="24"/>
        </w:rPr>
      </w:pPr>
    </w:p>
    <w:p w14:paraId="37DA0984" w14:textId="77777777" w:rsidR="00396F9D" w:rsidRPr="002A124D" w:rsidRDefault="00396F9D" w:rsidP="00396F9D">
      <w:pPr>
        <w:tabs>
          <w:tab w:val="center" w:pos="7371"/>
        </w:tabs>
        <w:spacing w:after="120" w:line="276" w:lineRule="auto"/>
        <w:ind w:firstLine="284"/>
        <w:rPr>
          <w:rFonts w:ascii="Palatino Linotype" w:eastAsia="Times New Roman" w:hAnsi="Palatino Linotype" w:cs="Times New Roman"/>
          <w:bCs/>
        </w:rPr>
      </w:pPr>
      <w:r w:rsidRPr="002A124D">
        <w:rPr>
          <w:rFonts w:ascii="Palatino Linotype" w:eastAsia="Times New Roman" w:hAnsi="Palatino Linotype" w:cs="Times New Roman"/>
          <w:bCs/>
        </w:rPr>
        <w:t xml:space="preserve">Consistenza del personale al </w:t>
      </w:r>
      <w:r w:rsidRPr="000C72EE">
        <w:rPr>
          <w:rFonts w:ascii="Palatino Linotype" w:eastAsia="Times New Roman" w:hAnsi="Palatino Linotype" w:cs="Times New Roman"/>
          <w:bCs/>
        </w:rPr>
        <w:t>31/12/2025:</w:t>
      </w:r>
    </w:p>
    <w:tbl>
      <w:tblPr>
        <w:tblW w:w="0" w:type="auto"/>
        <w:tblInd w:w="250" w:type="dxa"/>
        <w:tblLayout w:type="fixed"/>
        <w:tblLook w:val="04A0" w:firstRow="1" w:lastRow="0" w:firstColumn="1" w:lastColumn="0" w:noHBand="0" w:noVBand="1"/>
      </w:tblPr>
      <w:tblGrid>
        <w:gridCol w:w="1168"/>
        <w:gridCol w:w="812"/>
        <w:gridCol w:w="973"/>
        <w:gridCol w:w="973"/>
        <w:gridCol w:w="973"/>
        <w:gridCol w:w="1797"/>
      </w:tblGrid>
      <w:tr w:rsidR="00396F9D" w:rsidRPr="002A124D" w14:paraId="26D894D1" w14:textId="77777777" w:rsidTr="00CB48FD">
        <w:trPr>
          <w:cantSplit/>
          <w:trHeight w:val="1763"/>
        </w:trPr>
        <w:tc>
          <w:tcPr>
            <w:tcW w:w="1168" w:type="dxa"/>
            <w:tcBorders>
              <w:top w:val="nil"/>
              <w:left w:val="nil"/>
              <w:bottom w:val="single" w:sz="4" w:space="0" w:color="000000"/>
              <w:right w:val="nil"/>
            </w:tcBorders>
            <w:textDirection w:val="btLr"/>
            <w:vAlign w:val="center"/>
          </w:tcPr>
          <w:p w14:paraId="42ABD0D7"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p>
        </w:tc>
        <w:tc>
          <w:tcPr>
            <w:tcW w:w="812" w:type="dxa"/>
            <w:tcBorders>
              <w:top w:val="single" w:sz="4" w:space="0" w:color="000000"/>
              <w:left w:val="single" w:sz="4" w:space="0" w:color="000000"/>
              <w:bottom w:val="single" w:sz="4" w:space="0" w:color="000000"/>
              <w:right w:val="nil"/>
            </w:tcBorders>
            <w:vAlign w:val="center"/>
            <w:hideMark/>
          </w:tcPr>
          <w:p w14:paraId="5477914F" w14:textId="77777777" w:rsidR="00396F9D" w:rsidRPr="002A124D" w:rsidRDefault="00396F9D" w:rsidP="00CB48FD">
            <w:pPr>
              <w:tabs>
                <w:tab w:val="center" w:pos="7371"/>
              </w:tabs>
              <w:spacing w:after="120" w:line="276" w:lineRule="auto"/>
              <w:jc w:val="center"/>
              <w:rPr>
                <w:rFonts w:ascii="Palatino Linotype" w:eastAsia="Times New Roman" w:hAnsi="Palatino Linotype" w:cs="Times New Roman"/>
                <w:bCs/>
              </w:rPr>
            </w:pPr>
            <w:r>
              <w:rPr>
                <w:rFonts w:ascii="Palatino Linotype" w:eastAsia="Times New Roman" w:hAnsi="Palatino Linotype" w:cs="Times New Roman"/>
                <w:bCs/>
              </w:rPr>
              <w:t xml:space="preserve">ex </w:t>
            </w:r>
            <w:r w:rsidRPr="002A124D">
              <w:rPr>
                <w:rFonts w:ascii="Palatino Linotype" w:eastAsia="Times New Roman" w:hAnsi="Palatino Linotype" w:cs="Times New Roman"/>
                <w:bCs/>
              </w:rPr>
              <w:t>D</w:t>
            </w:r>
          </w:p>
        </w:tc>
        <w:tc>
          <w:tcPr>
            <w:tcW w:w="973" w:type="dxa"/>
            <w:tcBorders>
              <w:top w:val="single" w:sz="4" w:space="0" w:color="000000"/>
              <w:left w:val="single" w:sz="4" w:space="0" w:color="000000"/>
              <w:bottom w:val="single" w:sz="4" w:space="0" w:color="000000"/>
              <w:right w:val="nil"/>
            </w:tcBorders>
            <w:vAlign w:val="center"/>
            <w:hideMark/>
          </w:tcPr>
          <w:p w14:paraId="0A0E6F4D" w14:textId="77777777" w:rsidR="00396F9D" w:rsidRPr="002A124D" w:rsidRDefault="00396F9D" w:rsidP="00CB48FD">
            <w:pPr>
              <w:tabs>
                <w:tab w:val="center" w:pos="7371"/>
              </w:tabs>
              <w:spacing w:after="120" w:line="276" w:lineRule="auto"/>
              <w:jc w:val="center"/>
              <w:rPr>
                <w:rFonts w:ascii="Palatino Linotype" w:eastAsia="Times New Roman" w:hAnsi="Palatino Linotype" w:cs="Times New Roman"/>
                <w:bCs/>
              </w:rPr>
            </w:pPr>
            <w:r>
              <w:rPr>
                <w:rFonts w:ascii="Palatino Linotype" w:eastAsia="Times New Roman" w:hAnsi="Palatino Linotype" w:cs="Times New Roman"/>
                <w:bCs/>
              </w:rPr>
              <w:t xml:space="preserve">Ex </w:t>
            </w:r>
            <w:r w:rsidRPr="002A124D">
              <w:rPr>
                <w:rFonts w:ascii="Palatino Linotype" w:eastAsia="Times New Roman" w:hAnsi="Palatino Linotype" w:cs="Times New Roman"/>
                <w:bCs/>
              </w:rPr>
              <w:t>C</w:t>
            </w:r>
          </w:p>
        </w:tc>
        <w:tc>
          <w:tcPr>
            <w:tcW w:w="973" w:type="dxa"/>
            <w:tcBorders>
              <w:top w:val="single" w:sz="4" w:space="0" w:color="000000"/>
              <w:left w:val="single" w:sz="4" w:space="0" w:color="000000"/>
              <w:bottom w:val="single" w:sz="4" w:space="0" w:color="000000"/>
              <w:right w:val="nil"/>
            </w:tcBorders>
            <w:vAlign w:val="center"/>
            <w:hideMark/>
          </w:tcPr>
          <w:p w14:paraId="66D08A27" w14:textId="77777777" w:rsidR="00396F9D" w:rsidRPr="002A124D" w:rsidRDefault="00396F9D" w:rsidP="00CB48FD">
            <w:pPr>
              <w:tabs>
                <w:tab w:val="center" w:pos="7371"/>
              </w:tabs>
              <w:spacing w:after="120" w:line="276" w:lineRule="auto"/>
              <w:jc w:val="center"/>
              <w:rPr>
                <w:rFonts w:ascii="Palatino Linotype" w:eastAsia="Times New Roman" w:hAnsi="Palatino Linotype" w:cs="Times New Roman"/>
                <w:bCs/>
              </w:rPr>
            </w:pPr>
            <w:r>
              <w:rPr>
                <w:rFonts w:ascii="Palatino Linotype" w:eastAsia="Times New Roman" w:hAnsi="Palatino Linotype" w:cs="Times New Roman"/>
                <w:bCs/>
              </w:rPr>
              <w:t xml:space="preserve">Ex </w:t>
            </w:r>
            <w:r w:rsidRPr="002A124D">
              <w:rPr>
                <w:rFonts w:ascii="Palatino Linotype" w:eastAsia="Times New Roman" w:hAnsi="Palatino Linotype" w:cs="Times New Roman"/>
                <w:bCs/>
              </w:rPr>
              <w:t>B</w:t>
            </w:r>
          </w:p>
        </w:tc>
        <w:tc>
          <w:tcPr>
            <w:tcW w:w="973" w:type="dxa"/>
            <w:tcBorders>
              <w:top w:val="single" w:sz="4" w:space="0" w:color="000000"/>
              <w:left w:val="single" w:sz="4" w:space="0" w:color="000000"/>
              <w:bottom w:val="single" w:sz="4" w:space="0" w:color="000000"/>
              <w:right w:val="nil"/>
            </w:tcBorders>
            <w:vAlign w:val="center"/>
            <w:hideMark/>
          </w:tcPr>
          <w:p w14:paraId="6950E84F" w14:textId="77777777" w:rsidR="00396F9D" w:rsidRPr="002A124D" w:rsidRDefault="00396F9D" w:rsidP="00CB48FD">
            <w:pPr>
              <w:tabs>
                <w:tab w:val="center" w:pos="7371"/>
              </w:tabs>
              <w:spacing w:after="120" w:line="276" w:lineRule="auto"/>
              <w:jc w:val="center"/>
              <w:rPr>
                <w:rFonts w:ascii="Palatino Linotype" w:eastAsia="Times New Roman" w:hAnsi="Palatino Linotype" w:cs="Times New Roman"/>
                <w:bCs/>
              </w:rPr>
            </w:pPr>
            <w:r>
              <w:rPr>
                <w:rFonts w:ascii="Palatino Linotype" w:eastAsia="Times New Roman" w:hAnsi="Palatino Linotype" w:cs="Times New Roman"/>
                <w:bCs/>
              </w:rPr>
              <w:t xml:space="preserve">Ex </w:t>
            </w:r>
            <w:r w:rsidRPr="002A124D">
              <w:rPr>
                <w:rFonts w:ascii="Palatino Linotype" w:eastAsia="Times New Roman" w:hAnsi="Palatino Linotype" w:cs="Times New Roman"/>
                <w:bCs/>
              </w:rPr>
              <w:t>A</w:t>
            </w:r>
          </w:p>
        </w:tc>
        <w:tc>
          <w:tcPr>
            <w:tcW w:w="1797" w:type="dxa"/>
            <w:tcBorders>
              <w:top w:val="single" w:sz="4" w:space="0" w:color="000000"/>
              <w:left w:val="single" w:sz="4" w:space="0" w:color="000000"/>
              <w:bottom w:val="single" w:sz="4" w:space="0" w:color="000000"/>
              <w:right w:val="single" w:sz="4" w:space="0" w:color="000000"/>
            </w:tcBorders>
            <w:vAlign w:val="center"/>
            <w:hideMark/>
          </w:tcPr>
          <w:p w14:paraId="5FED1F59"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TOTALI</w:t>
            </w:r>
          </w:p>
        </w:tc>
      </w:tr>
      <w:tr w:rsidR="00396F9D" w:rsidRPr="002A124D" w14:paraId="1DBA7E7E" w14:textId="77777777" w:rsidTr="00CB48FD">
        <w:tc>
          <w:tcPr>
            <w:tcW w:w="1168" w:type="dxa"/>
            <w:tcBorders>
              <w:top w:val="single" w:sz="4" w:space="0" w:color="000000"/>
              <w:left w:val="single" w:sz="4" w:space="0" w:color="000000"/>
              <w:bottom w:val="single" w:sz="4" w:space="0" w:color="000000"/>
              <w:right w:val="nil"/>
            </w:tcBorders>
            <w:hideMark/>
          </w:tcPr>
          <w:p w14:paraId="5DD1D696"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Donne</w:t>
            </w:r>
          </w:p>
        </w:tc>
        <w:tc>
          <w:tcPr>
            <w:tcW w:w="812" w:type="dxa"/>
            <w:tcBorders>
              <w:top w:val="single" w:sz="4" w:space="0" w:color="000000"/>
              <w:left w:val="single" w:sz="4" w:space="0" w:color="000000"/>
              <w:bottom w:val="single" w:sz="4" w:space="0" w:color="000000"/>
              <w:right w:val="nil"/>
            </w:tcBorders>
            <w:hideMark/>
          </w:tcPr>
          <w:p w14:paraId="56222F54"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2</w:t>
            </w:r>
          </w:p>
        </w:tc>
        <w:tc>
          <w:tcPr>
            <w:tcW w:w="973" w:type="dxa"/>
            <w:tcBorders>
              <w:top w:val="single" w:sz="4" w:space="0" w:color="000000"/>
              <w:left w:val="single" w:sz="4" w:space="0" w:color="000000"/>
              <w:bottom w:val="single" w:sz="4" w:space="0" w:color="000000"/>
              <w:right w:val="nil"/>
            </w:tcBorders>
            <w:hideMark/>
          </w:tcPr>
          <w:p w14:paraId="787E8680"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Pr>
                <w:rFonts w:ascii="Palatino Linotype" w:eastAsia="Times New Roman" w:hAnsi="Palatino Linotype" w:cs="Times New Roman"/>
                <w:bCs/>
              </w:rPr>
              <w:t>5</w:t>
            </w:r>
          </w:p>
        </w:tc>
        <w:tc>
          <w:tcPr>
            <w:tcW w:w="973" w:type="dxa"/>
            <w:tcBorders>
              <w:top w:val="single" w:sz="4" w:space="0" w:color="000000"/>
              <w:left w:val="single" w:sz="4" w:space="0" w:color="000000"/>
              <w:bottom w:val="single" w:sz="4" w:space="0" w:color="000000"/>
              <w:right w:val="nil"/>
            </w:tcBorders>
            <w:hideMark/>
          </w:tcPr>
          <w:p w14:paraId="28FAC64D"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0</w:t>
            </w:r>
          </w:p>
        </w:tc>
        <w:tc>
          <w:tcPr>
            <w:tcW w:w="973" w:type="dxa"/>
            <w:tcBorders>
              <w:top w:val="single" w:sz="4" w:space="0" w:color="000000"/>
              <w:left w:val="single" w:sz="4" w:space="0" w:color="000000"/>
              <w:bottom w:val="single" w:sz="4" w:space="0" w:color="000000"/>
              <w:right w:val="nil"/>
            </w:tcBorders>
            <w:hideMark/>
          </w:tcPr>
          <w:p w14:paraId="37963DBB"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0</w:t>
            </w:r>
          </w:p>
        </w:tc>
        <w:tc>
          <w:tcPr>
            <w:tcW w:w="1797" w:type="dxa"/>
            <w:tcBorders>
              <w:top w:val="single" w:sz="4" w:space="0" w:color="000000"/>
              <w:left w:val="single" w:sz="4" w:space="0" w:color="000000"/>
              <w:bottom w:val="single" w:sz="4" w:space="0" w:color="000000"/>
              <w:right w:val="single" w:sz="4" w:space="0" w:color="000000"/>
            </w:tcBorders>
            <w:vAlign w:val="center"/>
            <w:hideMark/>
          </w:tcPr>
          <w:p w14:paraId="19CB0CE5"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Pr>
                <w:rFonts w:ascii="Palatino Linotype" w:eastAsia="Times New Roman" w:hAnsi="Palatino Linotype" w:cs="Times New Roman"/>
                <w:bCs/>
              </w:rPr>
              <w:t>7</w:t>
            </w:r>
          </w:p>
        </w:tc>
      </w:tr>
      <w:tr w:rsidR="00396F9D" w:rsidRPr="002A124D" w14:paraId="38EDB7E7" w14:textId="77777777" w:rsidTr="00CB48FD">
        <w:tc>
          <w:tcPr>
            <w:tcW w:w="1168" w:type="dxa"/>
            <w:tcBorders>
              <w:top w:val="single" w:sz="4" w:space="0" w:color="000000"/>
              <w:left w:val="single" w:sz="4" w:space="0" w:color="000000"/>
              <w:bottom w:val="single" w:sz="4" w:space="0" w:color="000000"/>
              <w:right w:val="nil"/>
            </w:tcBorders>
            <w:hideMark/>
          </w:tcPr>
          <w:p w14:paraId="16935E53"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Uomini</w:t>
            </w:r>
          </w:p>
        </w:tc>
        <w:tc>
          <w:tcPr>
            <w:tcW w:w="812" w:type="dxa"/>
            <w:tcBorders>
              <w:top w:val="single" w:sz="4" w:space="0" w:color="000000"/>
              <w:left w:val="single" w:sz="4" w:space="0" w:color="000000"/>
              <w:bottom w:val="single" w:sz="4" w:space="0" w:color="000000"/>
              <w:right w:val="nil"/>
            </w:tcBorders>
            <w:hideMark/>
          </w:tcPr>
          <w:p w14:paraId="2E96529F"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2</w:t>
            </w:r>
          </w:p>
        </w:tc>
        <w:tc>
          <w:tcPr>
            <w:tcW w:w="973" w:type="dxa"/>
            <w:tcBorders>
              <w:top w:val="single" w:sz="4" w:space="0" w:color="000000"/>
              <w:left w:val="single" w:sz="4" w:space="0" w:color="000000"/>
              <w:bottom w:val="single" w:sz="4" w:space="0" w:color="000000"/>
              <w:right w:val="nil"/>
            </w:tcBorders>
            <w:hideMark/>
          </w:tcPr>
          <w:p w14:paraId="57EC67A4"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0</w:t>
            </w:r>
          </w:p>
        </w:tc>
        <w:tc>
          <w:tcPr>
            <w:tcW w:w="973" w:type="dxa"/>
            <w:tcBorders>
              <w:top w:val="single" w:sz="4" w:space="0" w:color="000000"/>
              <w:left w:val="single" w:sz="4" w:space="0" w:color="000000"/>
              <w:bottom w:val="single" w:sz="4" w:space="0" w:color="000000"/>
              <w:right w:val="nil"/>
            </w:tcBorders>
            <w:hideMark/>
          </w:tcPr>
          <w:p w14:paraId="2350DC2A"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3</w:t>
            </w:r>
          </w:p>
        </w:tc>
        <w:tc>
          <w:tcPr>
            <w:tcW w:w="973" w:type="dxa"/>
            <w:tcBorders>
              <w:top w:val="single" w:sz="4" w:space="0" w:color="000000"/>
              <w:left w:val="single" w:sz="4" w:space="0" w:color="000000"/>
              <w:bottom w:val="single" w:sz="4" w:space="0" w:color="000000"/>
              <w:right w:val="nil"/>
            </w:tcBorders>
            <w:hideMark/>
          </w:tcPr>
          <w:p w14:paraId="701B0C13"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0</w:t>
            </w:r>
          </w:p>
        </w:tc>
        <w:tc>
          <w:tcPr>
            <w:tcW w:w="1797" w:type="dxa"/>
            <w:tcBorders>
              <w:top w:val="single" w:sz="4" w:space="0" w:color="000000"/>
              <w:left w:val="single" w:sz="4" w:space="0" w:color="000000"/>
              <w:bottom w:val="single" w:sz="4" w:space="0" w:color="000000"/>
              <w:right w:val="single" w:sz="4" w:space="0" w:color="000000"/>
            </w:tcBorders>
            <w:vAlign w:val="center"/>
            <w:hideMark/>
          </w:tcPr>
          <w:p w14:paraId="58AB266B"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5</w:t>
            </w:r>
          </w:p>
        </w:tc>
      </w:tr>
      <w:tr w:rsidR="00396F9D" w:rsidRPr="002A124D" w14:paraId="05D8AEF5" w14:textId="77777777" w:rsidTr="00CB48FD">
        <w:tc>
          <w:tcPr>
            <w:tcW w:w="1168" w:type="dxa"/>
            <w:tcBorders>
              <w:top w:val="single" w:sz="4" w:space="0" w:color="000000"/>
              <w:left w:val="single" w:sz="4" w:space="0" w:color="000000"/>
              <w:bottom w:val="single" w:sz="4" w:space="0" w:color="000000"/>
              <w:right w:val="nil"/>
            </w:tcBorders>
            <w:hideMark/>
          </w:tcPr>
          <w:p w14:paraId="12B4FB60"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TOTALI</w:t>
            </w:r>
          </w:p>
        </w:tc>
        <w:tc>
          <w:tcPr>
            <w:tcW w:w="812" w:type="dxa"/>
            <w:tcBorders>
              <w:top w:val="single" w:sz="4" w:space="0" w:color="000000"/>
              <w:left w:val="single" w:sz="4" w:space="0" w:color="000000"/>
              <w:bottom w:val="single" w:sz="4" w:space="0" w:color="000000"/>
              <w:right w:val="nil"/>
            </w:tcBorders>
            <w:hideMark/>
          </w:tcPr>
          <w:p w14:paraId="441C5F47"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4</w:t>
            </w:r>
          </w:p>
        </w:tc>
        <w:tc>
          <w:tcPr>
            <w:tcW w:w="973" w:type="dxa"/>
            <w:tcBorders>
              <w:top w:val="single" w:sz="4" w:space="0" w:color="000000"/>
              <w:left w:val="single" w:sz="4" w:space="0" w:color="000000"/>
              <w:bottom w:val="single" w:sz="4" w:space="0" w:color="000000"/>
              <w:right w:val="nil"/>
            </w:tcBorders>
            <w:hideMark/>
          </w:tcPr>
          <w:p w14:paraId="0F7FF2A0"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Pr>
                <w:rFonts w:ascii="Palatino Linotype" w:eastAsia="Times New Roman" w:hAnsi="Palatino Linotype" w:cs="Times New Roman"/>
                <w:bCs/>
              </w:rPr>
              <w:t>5</w:t>
            </w:r>
          </w:p>
        </w:tc>
        <w:tc>
          <w:tcPr>
            <w:tcW w:w="973" w:type="dxa"/>
            <w:tcBorders>
              <w:top w:val="single" w:sz="4" w:space="0" w:color="000000"/>
              <w:left w:val="single" w:sz="4" w:space="0" w:color="000000"/>
              <w:bottom w:val="single" w:sz="4" w:space="0" w:color="000000"/>
              <w:right w:val="nil"/>
            </w:tcBorders>
            <w:hideMark/>
          </w:tcPr>
          <w:p w14:paraId="3A8B90B5"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3</w:t>
            </w:r>
          </w:p>
        </w:tc>
        <w:tc>
          <w:tcPr>
            <w:tcW w:w="973" w:type="dxa"/>
            <w:tcBorders>
              <w:top w:val="single" w:sz="4" w:space="0" w:color="000000"/>
              <w:left w:val="single" w:sz="4" w:space="0" w:color="000000"/>
              <w:bottom w:val="single" w:sz="4" w:space="0" w:color="000000"/>
              <w:right w:val="nil"/>
            </w:tcBorders>
            <w:hideMark/>
          </w:tcPr>
          <w:p w14:paraId="173B4C85"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0</w:t>
            </w:r>
          </w:p>
        </w:tc>
        <w:tc>
          <w:tcPr>
            <w:tcW w:w="1797" w:type="dxa"/>
            <w:tcBorders>
              <w:top w:val="single" w:sz="4" w:space="0" w:color="000000"/>
              <w:left w:val="single" w:sz="4" w:space="0" w:color="000000"/>
              <w:bottom w:val="single" w:sz="4" w:space="0" w:color="000000"/>
              <w:right w:val="single" w:sz="4" w:space="0" w:color="000000"/>
            </w:tcBorders>
            <w:vAlign w:val="center"/>
            <w:hideMark/>
          </w:tcPr>
          <w:p w14:paraId="58F338D8"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1</w:t>
            </w:r>
            <w:r>
              <w:rPr>
                <w:rFonts w:ascii="Palatino Linotype" w:eastAsia="Times New Roman" w:hAnsi="Palatino Linotype" w:cs="Times New Roman"/>
                <w:bCs/>
              </w:rPr>
              <w:t>2</w:t>
            </w:r>
          </w:p>
        </w:tc>
      </w:tr>
    </w:tbl>
    <w:p w14:paraId="64BCA37A" w14:textId="77777777" w:rsidR="00396F9D" w:rsidRPr="002A124D" w:rsidRDefault="00396F9D" w:rsidP="00396F9D">
      <w:pPr>
        <w:autoSpaceDE w:val="0"/>
        <w:autoSpaceDN w:val="0"/>
        <w:spacing w:after="0" w:line="240" w:lineRule="auto"/>
        <w:jc w:val="center"/>
        <w:rPr>
          <w:rFonts w:ascii="Palatino Linotype" w:eastAsia="Times New Roman" w:hAnsi="Palatino Linotype" w:cs="Calibri"/>
          <w:b/>
          <w:noProof/>
          <w:szCs w:val="20"/>
          <w:lang w:eastAsia="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7"/>
        <w:gridCol w:w="2746"/>
        <w:gridCol w:w="2255"/>
        <w:gridCol w:w="2728"/>
      </w:tblGrid>
      <w:tr w:rsidR="00396F9D" w:rsidRPr="002A124D" w14:paraId="446B4F22" w14:textId="77777777" w:rsidTr="00CB48FD">
        <w:trPr>
          <w:jc w:val="center"/>
        </w:trPr>
        <w:tc>
          <w:tcPr>
            <w:tcW w:w="1767" w:type="dxa"/>
            <w:tcBorders>
              <w:top w:val="single" w:sz="4" w:space="0" w:color="auto"/>
              <w:left w:val="single" w:sz="4" w:space="0" w:color="auto"/>
              <w:bottom w:val="single" w:sz="4" w:space="0" w:color="auto"/>
              <w:right w:val="single" w:sz="4" w:space="0" w:color="auto"/>
            </w:tcBorders>
            <w:hideMark/>
          </w:tcPr>
          <w:p w14:paraId="33D85B2F"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CATEGORIA</w:t>
            </w:r>
          </w:p>
        </w:tc>
        <w:tc>
          <w:tcPr>
            <w:tcW w:w="2746" w:type="dxa"/>
            <w:tcBorders>
              <w:top w:val="single" w:sz="4" w:space="0" w:color="auto"/>
              <w:left w:val="single" w:sz="4" w:space="0" w:color="auto"/>
              <w:bottom w:val="single" w:sz="4" w:space="0" w:color="auto"/>
              <w:right w:val="single" w:sz="4" w:space="0" w:color="auto"/>
            </w:tcBorders>
            <w:hideMark/>
          </w:tcPr>
          <w:p w14:paraId="0E2EE814"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PROFILO</w:t>
            </w:r>
          </w:p>
        </w:tc>
        <w:tc>
          <w:tcPr>
            <w:tcW w:w="2255" w:type="dxa"/>
            <w:tcBorders>
              <w:top w:val="single" w:sz="4" w:space="0" w:color="auto"/>
              <w:left w:val="single" w:sz="4" w:space="0" w:color="auto"/>
              <w:bottom w:val="single" w:sz="4" w:space="0" w:color="auto"/>
              <w:right w:val="single" w:sz="4" w:space="0" w:color="auto"/>
            </w:tcBorders>
            <w:hideMark/>
          </w:tcPr>
          <w:p w14:paraId="3889FE1D"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Comune provenienza</w:t>
            </w:r>
          </w:p>
        </w:tc>
        <w:tc>
          <w:tcPr>
            <w:tcW w:w="2728" w:type="dxa"/>
            <w:tcBorders>
              <w:top w:val="single" w:sz="4" w:space="0" w:color="auto"/>
              <w:left w:val="single" w:sz="4" w:space="0" w:color="auto"/>
              <w:bottom w:val="single" w:sz="4" w:space="0" w:color="auto"/>
              <w:right w:val="single" w:sz="4" w:space="0" w:color="auto"/>
            </w:tcBorders>
            <w:hideMark/>
          </w:tcPr>
          <w:p w14:paraId="20E676E1"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Note</w:t>
            </w:r>
          </w:p>
        </w:tc>
      </w:tr>
      <w:tr w:rsidR="00396F9D" w:rsidRPr="002A124D" w14:paraId="1066A67B" w14:textId="77777777" w:rsidTr="00CB48FD">
        <w:trPr>
          <w:jc w:val="center"/>
        </w:trPr>
        <w:tc>
          <w:tcPr>
            <w:tcW w:w="1767" w:type="dxa"/>
            <w:tcBorders>
              <w:top w:val="single" w:sz="4" w:space="0" w:color="auto"/>
              <w:left w:val="single" w:sz="4" w:space="0" w:color="auto"/>
              <w:bottom w:val="single" w:sz="4" w:space="0" w:color="auto"/>
              <w:right w:val="single" w:sz="4" w:space="0" w:color="auto"/>
            </w:tcBorders>
            <w:vAlign w:val="center"/>
            <w:hideMark/>
          </w:tcPr>
          <w:p w14:paraId="63C7AA6F"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EX D</w:t>
            </w:r>
          </w:p>
        </w:tc>
        <w:tc>
          <w:tcPr>
            <w:tcW w:w="2746" w:type="dxa"/>
            <w:tcBorders>
              <w:top w:val="single" w:sz="4" w:space="0" w:color="auto"/>
              <w:left w:val="single" w:sz="4" w:space="0" w:color="auto"/>
              <w:bottom w:val="single" w:sz="4" w:space="0" w:color="auto"/>
              <w:right w:val="single" w:sz="4" w:space="0" w:color="auto"/>
            </w:tcBorders>
            <w:vAlign w:val="center"/>
            <w:hideMark/>
          </w:tcPr>
          <w:p w14:paraId="7DE2516B"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Istruttore direttivo tecnico</w:t>
            </w:r>
          </w:p>
        </w:tc>
        <w:tc>
          <w:tcPr>
            <w:tcW w:w="2255" w:type="dxa"/>
            <w:tcBorders>
              <w:top w:val="single" w:sz="4" w:space="0" w:color="auto"/>
              <w:left w:val="single" w:sz="4" w:space="0" w:color="auto"/>
              <w:bottom w:val="single" w:sz="4" w:space="0" w:color="auto"/>
              <w:right w:val="single" w:sz="4" w:space="0" w:color="auto"/>
            </w:tcBorders>
            <w:hideMark/>
          </w:tcPr>
          <w:p w14:paraId="6E5A61B1"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Borgo Priolo</w:t>
            </w:r>
          </w:p>
        </w:tc>
        <w:tc>
          <w:tcPr>
            <w:tcW w:w="2728" w:type="dxa"/>
            <w:tcBorders>
              <w:top w:val="single" w:sz="4" w:space="0" w:color="auto"/>
              <w:left w:val="single" w:sz="4" w:space="0" w:color="auto"/>
              <w:bottom w:val="single" w:sz="4" w:space="0" w:color="auto"/>
              <w:right w:val="single" w:sz="4" w:space="0" w:color="auto"/>
            </w:tcBorders>
            <w:hideMark/>
          </w:tcPr>
          <w:p w14:paraId="1C62ABD4"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Dipendente in Convenzione ex14 ccnl con il Comune di Verretto (PV)</w:t>
            </w:r>
          </w:p>
        </w:tc>
      </w:tr>
      <w:tr w:rsidR="00396F9D" w:rsidRPr="002A124D" w14:paraId="691F01F0" w14:textId="77777777" w:rsidTr="00CB48FD">
        <w:trPr>
          <w:jc w:val="center"/>
        </w:trPr>
        <w:tc>
          <w:tcPr>
            <w:tcW w:w="1767" w:type="dxa"/>
            <w:tcBorders>
              <w:top w:val="single" w:sz="4" w:space="0" w:color="auto"/>
              <w:left w:val="single" w:sz="4" w:space="0" w:color="auto"/>
              <w:bottom w:val="single" w:sz="4" w:space="0" w:color="auto"/>
              <w:right w:val="single" w:sz="4" w:space="0" w:color="auto"/>
            </w:tcBorders>
            <w:vAlign w:val="center"/>
            <w:hideMark/>
          </w:tcPr>
          <w:p w14:paraId="4D0D7494"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EX D</w:t>
            </w:r>
          </w:p>
        </w:tc>
        <w:tc>
          <w:tcPr>
            <w:tcW w:w="2746" w:type="dxa"/>
            <w:tcBorders>
              <w:top w:val="single" w:sz="4" w:space="0" w:color="auto"/>
              <w:left w:val="single" w:sz="4" w:space="0" w:color="auto"/>
              <w:bottom w:val="single" w:sz="4" w:space="0" w:color="auto"/>
              <w:right w:val="single" w:sz="4" w:space="0" w:color="auto"/>
            </w:tcBorders>
            <w:vAlign w:val="center"/>
            <w:hideMark/>
          </w:tcPr>
          <w:p w14:paraId="183E3EF0"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Istruttore direttivo vigilanza</w:t>
            </w:r>
          </w:p>
        </w:tc>
        <w:tc>
          <w:tcPr>
            <w:tcW w:w="2255" w:type="dxa"/>
            <w:tcBorders>
              <w:top w:val="single" w:sz="4" w:space="0" w:color="auto"/>
              <w:left w:val="single" w:sz="4" w:space="0" w:color="auto"/>
              <w:bottom w:val="single" w:sz="4" w:space="0" w:color="auto"/>
              <w:right w:val="single" w:sz="4" w:space="0" w:color="auto"/>
            </w:tcBorders>
            <w:hideMark/>
          </w:tcPr>
          <w:p w14:paraId="2701499E"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Borgo Priolo</w:t>
            </w:r>
          </w:p>
        </w:tc>
        <w:tc>
          <w:tcPr>
            <w:tcW w:w="2728" w:type="dxa"/>
            <w:tcBorders>
              <w:top w:val="single" w:sz="4" w:space="0" w:color="auto"/>
              <w:left w:val="single" w:sz="4" w:space="0" w:color="auto"/>
              <w:bottom w:val="single" w:sz="4" w:space="0" w:color="auto"/>
              <w:right w:val="single" w:sz="4" w:space="0" w:color="auto"/>
            </w:tcBorders>
          </w:tcPr>
          <w:p w14:paraId="7771F05C"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p>
        </w:tc>
      </w:tr>
      <w:tr w:rsidR="00396F9D" w:rsidRPr="002A124D" w14:paraId="2AB61F5B" w14:textId="77777777" w:rsidTr="00CB48FD">
        <w:trPr>
          <w:jc w:val="center"/>
        </w:trPr>
        <w:tc>
          <w:tcPr>
            <w:tcW w:w="1767" w:type="dxa"/>
            <w:tcBorders>
              <w:top w:val="single" w:sz="4" w:space="0" w:color="auto"/>
              <w:left w:val="single" w:sz="4" w:space="0" w:color="auto"/>
              <w:bottom w:val="single" w:sz="4" w:space="0" w:color="auto"/>
              <w:right w:val="single" w:sz="4" w:space="0" w:color="auto"/>
            </w:tcBorders>
            <w:vAlign w:val="center"/>
            <w:hideMark/>
          </w:tcPr>
          <w:p w14:paraId="659A5297"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EX B</w:t>
            </w:r>
          </w:p>
        </w:tc>
        <w:tc>
          <w:tcPr>
            <w:tcW w:w="2746" w:type="dxa"/>
            <w:tcBorders>
              <w:top w:val="single" w:sz="4" w:space="0" w:color="auto"/>
              <w:left w:val="single" w:sz="4" w:space="0" w:color="auto"/>
              <w:bottom w:val="single" w:sz="4" w:space="0" w:color="auto"/>
              <w:right w:val="single" w:sz="4" w:space="0" w:color="auto"/>
            </w:tcBorders>
            <w:vAlign w:val="center"/>
            <w:hideMark/>
          </w:tcPr>
          <w:p w14:paraId="6C5F551A"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Collaboratore tecnico cantoniere operaio autista scuolabus</w:t>
            </w:r>
          </w:p>
        </w:tc>
        <w:tc>
          <w:tcPr>
            <w:tcW w:w="2255" w:type="dxa"/>
            <w:tcBorders>
              <w:top w:val="single" w:sz="4" w:space="0" w:color="auto"/>
              <w:left w:val="single" w:sz="4" w:space="0" w:color="auto"/>
              <w:bottom w:val="single" w:sz="4" w:space="0" w:color="auto"/>
              <w:right w:val="single" w:sz="4" w:space="0" w:color="auto"/>
            </w:tcBorders>
            <w:hideMark/>
          </w:tcPr>
          <w:p w14:paraId="2050B604"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Borgo Priolo</w:t>
            </w:r>
          </w:p>
        </w:tc>
        <w:tc>
          <w:tcPr>
            <w:tcW w:w="2728" w:type="dxa"/>
            <w:tcBorders>
              <w:top w:val="single" w:sz="4" w:space="0" w:color="auto"/>
              <w:left w:val="single" w:sz="4" w:space="0" w:color="auto"/>
              <w:bottom w:val="single" w:sz="4" w:space="0" w:color="auto"/>
              <w:right w:val="single" w:sz="4" w:space="0" w:color="auto"/>
            </w:tcBorders>
          </w:tcPr>
          <w:p w14:paraId="53637CC3"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p>
        </w:tc>
      </w:tr>
      <w:tr w:rsidR="00396F9D" w:rsidRPr="002A124D" w14:paraId="3A5D5E1F" w14:textId="77777777" w:rsidTr="00CB48FD">
        <w:trPr>
          <w:jc w:val="center"/>
        </w:trPr>
        <w:tc>
          <w:tcPr>
            <w:tcW w:w="1767" w:type="dxa"/>
            <w:tcBorders>
              <w:top w:val="single" w:sz="4" w:space="0" w:color="auto"/>
              <w:left w:val="single" w:sz="4" w:space="0" w:color="auto"/>
              <w:bottom w:val="single" w:sz="4" w:space="0" w:color="auto"/>
              <w:right w:val="single" w:sz="4" w:space="0" w:color="auto"/>
            </w:tcBorders>
            <w:vAlign w:val="center"/>
            <w:hideMark/>
          </w:tcPr>
          <w:p w14:paraId="27DDA9B8"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EX B</w:t>
            </w:r>
          </w:p>
        </w:tc>
        <w:tc>
          <w:tcPr>
            <w:tcW w:w="2746" w:type="dxa"/>
            <w:tcBorders>
              <w:top w:val="single" w:sz="4" w:space="0" w:color="auto"/>
              <w:left w:val="single" w:sz="4" w:space="0" w:color="auto"/>
              <w:bottom w:val="single" w:sz="4" w:space="0" w:color="auto"/>
              <w:right w:val="single" w:sz="4" w:space="0" w:color="auto"/>
            </w:tcBorders>
            <w:vAlign w:val="center"/>
            <w:hideMark/>
          </w:tcPr>
          <w:p w14:paraId="7DC4D281"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Collaboratore tecnico cantoniere operaio autista scuolabus</w:t>
            </w:r>
          </w:p>
        </w:tc>
        <w:tc>
          <w:tcPr>
            <w:tcW w:w="2255" w:type="dxa"/>
            <w:tcBorders>
              <w:top w:val="single" w:sz="4" w:space="0" w:color="auto"/>
              <w:left w:val="single" w:sz="4" w:space="0" w:color="auto"/>
              <w:bottom w:val="single" w:sz="4" w:space="0" w:color="auto"/>
              <w:right w:val="single" w:sz="4" w:space="0" w:color="auto"/>
            </w:tcBorders>
            <w:hideMark/>
          </w:tcPr>
          <w:p w14:paraId="02CC96D4"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Borgo Priolo</w:t>
            </w:r>
          </w:p>
        </w:tc>
        <w:tc>
          <w:tcPr>
            <w:tcW w:w="2728" w:type="dxa"/>
            <w:tcBorders>
              <w:top w:val="single" w:sz="4" w:space="0" w:color="auto"/>
              <w:left w:val="single" w:sz="4" w:space="0" w:color="auto"/>
              <w:bottom w:val="single" w:sz="4" w:space="0" w:color="auto"/>
              <w:right w:val="single" w:sz="4" w:space="0" w:color="auto"/>
            </w:tcBorders>
            <w:hideMark/>
          </w:tcPr>
          <w:p w14:paraId="7DC2EF25"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Posto vacante dal 01.11.2018</w:t>
            </w:r>
          </w:p>
        </w:tc>
      </w:tr>
      <w:tr w:rsidR="00396F9D" w:rsidRPr="002A124D" w14:paraId="0F4DFE5B" w14:textId="77777777" w:rsidTr="00CB48FD">
        <w:trPr>
          <w:jc w:val="center"/>
        </w:trPr>
        <w:tc>
          <w:tcPr>
            <w:tcW w:w="1767" w:type="dxa"/>
            <w:tcBorders>
              <w:top w:val="single" w:sz="4" w:space="0" w:color="auto"/>
              <w:left w:val="single" w:sz="4" w:space="0" w:color="auto"/>
              <w:bottom w:val="single" w:sz="4" w:space="0" w:color="auto"/>
              <w:right w:val="single" w:sz="4" w:space="0" w:color="auto"/>
            </w:tcBorders>
            <w:vAlign w:val="center"/>
            <w:hideMark/>
          </w:tcPr>
          <w:p w14:paraId="2AF0A999"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EX C</w:t>
            </w:r>
          </w:p>
        </w:tc>
        <w:tc>
          <w:tcPr>
            <w:tcW w:w="2746" w:type="dxa"/>
            <w:tcBorders>
              <w:top w:val="single" w:sz="4" w:space="0" w:color="auto"/>
              <w:left w:val="single" w:sz="4" w:space="0" w:color="auto"/>
              <w:bottom w:val="single" w:sz="4" w:space="0" w:color="auto"/>
              <w:right w:val="single" w:sz="4" w:space="0" w:color="auto"/>
            </w:tcBorders>
            <w:vAlign w:val="center"/>
            <w:hideMark/>
          </w:tcPr>
          <w:p w14:paraId="6DA7205B"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Collaboratore</w:t>
            </w:r>
          </w:p>
          <w:p w14:paraId="3F9131BA"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Tecnico amministrativo</w:t>
            </w:r>
          </w:p>
        </w:tc>
        <w:tc>
          <w:tcPr>
            <w:tcW w:w="2255" w:type="dxa"/>
            <w:tcBorders>
              <w:top w:val="single" w:sz="4" w:space="0" w:color="auto"/>
              <w:left w:val="single" w:sz="4" w:space="0" w:color="auto"/>
              <w:bottom w:val="single" w:sz="4" w:space="0" w:color="auto"/>
              <w:right w:val="single" w:sz="4" w:space="0" w:color="auto"/>
            </w:tcBorders>
            <w:hideMark/>
          </w:tcPr>
          <w:p w14:paraId="402D9159"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Borgo Priolo</w:t>
            </w:r>
          </w:p>
        </w:tc>
        <w:tc>
          <w:tcPr>
            <w:tcW w:w="2728" w:type="dxa"/>
            <w:tcBorders>
              <w:top w:val="single" w:sz="4" w:space="0" w:color="auto"/>
              <w:left w:val="single" w:sz="4" w:space="0" w:color="auto"/>
              <w:bottom w:val="single" w:sz="4" w:space="0" w:color="auto"/>
              <w:right w:val="single" w:sz="4" w:space="0" w:color="auto"/>
            </w:tcBorders>
          </w:tcPr>
          <w:p w14:paraId="2F2DE8F0"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p>
        </w:tc>
      </w:tr>
      <w:tr w:rsidR="00396F9D" w:rsidRPr="002A124D" w14:paraId="75C4EB6D" w14:textId="77777777" w:rsidTr="00CB48FD">
        <w:trPr>
          <w:jc w:val="center"/>
        </w:trPr>
        <w:tc>
          <w:tcPr>
            <w:tcW w:w="1767" w:type="dxa"/>
            <w:tcBorders>
              <w:top w:val="single" w:sz="4" w:space="0" w:color="auto"/>
              <w:left w:val="single" w:sz="4" w:space="0" w:color="auto"/>
              <w:bottom w:val="single" w:sz="4" w:space="0" w:color="auto"/>
              <w:right w:val="single" w:sz="4" w:space="0" w:color="auto"/>
            </w:tcBorders>
            <w:vAlign w:val="center"/>
            <w:hideMark/>
          </w:tcPr>
          <w:p w14:paraId="3E23A141"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EX C</w:t>
            </w:r>
          </w:p>
        </w:tc>
        <w:tc>
          <w:tcPr>
            <w:tcW w:w="2746" w:type="dxa"/>
            <w:tcBorders>
              <w:top w:val="single" w:sz="4" w:space="0" w:color="auto"/>
              <w:left w:val="single" w:sz="4" w:space="0" w:color="auto"/>
              <w:bottom w:val="single" w:sz="4" w:space="0" w:color="auto"/>
              <w:right w:val="single" w:sz="4" w:space="0" w:color="auto"/>
            </w:tcBorders>
            <w:vAlign w:val="center"/>
            <w:hideMark/>
          </w:tcPr>
          <w:p w14:paraId="77EE1D4A"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Istruttore</w:t>
            </w:r>
          </w:p>
          <w:p w14:paraId="04E6A88E"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Amministrativo</w:t>
            </w:r>
          </w:p>
          <w:p w14:paraId="1FDD0F0D"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Contabile</w:t>
            </w:r>
          </w:p>
        </w:tc>
        <w:tc>
          <w:tcPr>
            <w:tcW w:w="2255" w:type="dxa"/>
            <w:tcBorders>
              <w:top w:val="single" w:sz="4" w:space="0" w:color="auto"/>
              <w:left w:val="single" w:sz="4" w:space="0" w:color="auto"/>
              <w:bottom w:val="single" w:sz="4" w:space="0" w:color="auto"/>
              <w:right w:val="single" w:sz="4" w:space="0" w:color="auto"/>
            </w:tcBorders>
            <w:hideMark/>
          </w:tcPr>
          <w:p w14:paraId="7E9739CA"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Borgoratto Mormorolo</w:t>
            </w:r>
          </w:p>
        </w:tc>
        <w:tc>
          <w:tcPr>
            <w:tcW w:w="2728" w:type="dxa"/>
            <w:tcBorders>
              <w:top w:val="single" w:sz="4" w:space="0" w:color="auto"/>
              <w:left w:val="single" w:sz="4" w:space="0" w:color="auto"/>
              <w:bottom w:val="single" w:sz="4" w:space="0" w:color="auto"/>
              <w:right w:val="single" w:sz="4" w:space="0" w:color="auto"/>
            </w:tcBorders>
          </w:tcPr>
          <w:p w14:paraId="0A90F2F2"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p>
        </w:tc>
      </w:tr>
      <w:tr w:rsidR="00396F9D" w:rsidRPr="002A124D" w14:paraId="75AAD3C9" w14:textId="77777777" w:rsidTr="00CB48FD">
        <w:trPr>
          <w:jc w:val="center"/>
        </w:trPr>
        <w:tc>
          <w:tcPr>
            <w:tcW w:w="1767" w:type="dxa"/>
            <w:tcBorders>
              <w:top w:val="single" w:sz="4" w:space="0" w:color="auto"/>
              <w:left w:val="single" w:sz="4" w:space="0" w:color="auto"/>
              <w:bottom w:val="single" w:sz="4" w:space="0" w:color="auto"/>
              <w:right w:val="single" w:sz="4" w:space="0" w:color="auto"/>
            </w:tcBorders>
            <w:vAlign w:val="center"/>
            <w:hideMark/>
          </w:tcPr>
          <w:p w14:paraId="1E88B9AC"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EX B</w:t>
            </w:r>
          </w:p>
        </w:tc>
        <w:tc>
          <w:tcPr>
            <w:tcW w:w="2746" w:type="dxa"/>
            <w:tcBorders>
              <w:top w:val="single" w:sz="4" w:space="0" w:color="auto"/>
              <w:left w:val="single" w:sz="4" w:space="0" w:color="auto"/>
              <w:bottom w:val="single" w:sz="4" w:space="0" w:color="auto"/>
              <w:right w:val="single" w:sz="4" w:space="0" w:color="auto"/>
            </w:tcBorders>
            <w:vAlign w:val="center"/>
            <w:hideMark/>
          </w:tcPr>
          <w:p w14:paraId="7E47C5BC"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Collaboratore tecnico cantoniere operaio autista scuolabus</w:t>
            </w:r>
          </w:p>
        </w:tc>
        <w:tc>
          <w:tcPr>
            <w:tcW w:w="2255" w:type="dxa"/>
            <w:tcBorders>
              <w:top w:val="single" w:sz="4" w:space="0" w:color="auto"/>
              <w:left w:val="single" w:sz="4" w:space="0" w:color="auto"/>
              <w:bottom w:val="single" w:sz="4" w:space="0" w:color="auto"/>
              <w:right w:val="single" w:sz="4" w:space="0" w:color="auto"/>
            </w:tcBorders>
            <w:hideMark/>
          </w:tcPr>
          <w:p w14:paraId="2279BDBA"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Borgoratto Mormorolo</w:t>
            </w:r>
          </w:p>
        </w:tc>
        <w:tc>
          <w:tcPr>
            <w:tcW w:w="2728" w:type="dxa"/>
            <w:tcBorders>
              <w:top w:val="single" w:sz="4" w:space="0" w:color="auto"/>
              <w:left w:val="single" w:sz="4" w:space="0" w:color="auto"/>
              <w:bottom w:val="single" w:sz="4" w:space="0" w:color="auto"/>
              <w:right w:val="single" w:sz="4" w:space="0" w:color="auto"/>
            </w:tcBorders>
          </w:tcPr>
          <w:p w14:paraId="337048EF"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p>
        </w:tc>
      </w:tr>
      <w:tr w:rsidR="00396F9D" w:rsidRPr="002A124D" w14:paraId="1BD5D489" w14:textId="77777777" w:rsidTr="00CB48FD">
        <w:trPr>
          <w:jc w:val="center"/>
        </w:trPr>
        <w:tc>
          <w:tcPr>
            <w:tcW w:w="1767" w:type="dxa"/>
            <w:tcBorders>
              <w:top w:val="single" w:sz="4" w:space="0" w:color="auto"/>
              <w:left w:val="single" w:sz="4" w:space="0" w:color="auto"/>
              <w:bottom w:val="single" w:sz="4" w:space="0" w:color="auto"/>
              <w:right w:val="single" w:sz="4" w:space="0" w:color="auto"/>
            </w:tcBorders>
            <w:vAlign w:val="center"/>
            <w:hideMark/>
          </w:tcPr>
          <w:p w14:paraId="358BB37E"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EX D</w:t>
            </w:r>
          </w:p>
        </w:tc>
        <w:tc>
          <w:tcPr>
            <w:tcW w:w="2746" w:type="dxa"/>
            <w:tcBorders>
              <w:top w:val="single" w:sz="4" w:space="0" w:color="auto"/>
              <w:left w:val="single" w:sz="4" w:space="0" w:color="auto"/>
              <w:bottom w:val="single" w:sz="4" w:space="0" w:color="auto"/>
              <w:right w:val="single" w:sz="4" w:space="0" w:color="auto"/>
            </w:tcBorders>
            <w:vAlign w:val="center"/>
            <w:hideMark/>
          </w:tcPr>
          <w:p w14:paraId="4B71AAC9"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Istruttore direttivo</w:t>
            </w:r>
          </w:p>
          <w:p w14:paraId="62B1BBD5"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Finanziario</w:t>
            </w:r>
          </w:p>
        </w:tc>
        <w:tc>
          <w:tcPr>
            <w:tcW w:w="2255" w:type="dxa"/>
            <w:tcBorders>
              <w:top w:val="single" w:sz="4" w:space="0" w:color="auto"/>
              <w:left w:val="single" w:sz="4" w:space="0" w:color="auto"/>
              <w:bottom w:val="single" w:sz="4" w:space="0" w:color="auto"/>
              <w:right w:val="single" w:sz="4" w:space="0" w:color="auto"/>
            </w:tcBorders>
            <w:hideMark/>
          </w:tcPr>
          <w:p w14:paraId="577FB9E9"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Montesegale</w:t>
            </w:r>
          </w:p>
        </w:tc>
        <w:tc>
          <w:tcPr>
            <w:tcW w:w="2728" w:type="dxa"/>
            <w:tcBorders>
              <w:top w:val="single" w:sz="4" w:space="0" w:color="auto"/>
              <w:left w:val="single" w:sz="4" w:space="0" w:color="auto"/>
              <w:bottom w:val="single" w:sz="4" w:space="0" w:color="auto"/>
              <w:right w:val="single" w:sz="4" w:space="0" w:color="auto"/>
            </w:tcBorders>
          </w:tcPr>
          <w:p w14:paraId="5A0C1030"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p>
        </w:tc>
      </w:tr>
      <w:tr w:rsidR="00396F9D" w:rsidRPr="002A124D" w14:paraId="63C2E47B" w14:textId="77777777" w:rsidTr="00CB48FD">
        <w:trPr>
          <w:jc w:val="center"/>
        </w:trPr>
        <w:tc>
          <w:tcPr>
            <w:tcW w:w="1767" w:type="dxa"/>
            <w:tcBorders>
              <w:top w:val="single" w:sz="4" w:space="0" w:color="auto"/>
              <w:left w:val="single" w:sz="4" w:space="0" w:color="auto"/>
              <w:bottom w:val="single" w:sz="4" w:space="0" w:color="auto"/>
              <w:right w:val="single" w:sz="4" w:space="0" w:color="auto"/>
            </w:tcBorders>
            <w:vAlign w:val="center"/>
            <w:hideMark/>
          </w:tcPr>
          <w:p w14:paraId="7547501A"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EX C – p.t. 94,44%</w:t>
            </w:r>
          </w:p>
        </w:tc>
        <w:tc>
          <w:tcPr>
            <w:tcW w:w="2746" w:type="dxa"/>
            <w:tcBorders>
              <w:top w:val="single" w:sz="4" w:space="0" w:color="auto"/>
              <w:left w:val="single" w:sz="4" w:space="0" w:color="auto"/>
              <w:bottom w:val="single" w:sz="4" w:space="0" w:color="auto"/>
              <w:right w:val="single" w:sz="4" w:space="0" w:color="auto"/>
            </w:tcBorders>
            <w:vAlign w:val="center"/>
            <w:hideMark/>
          </w:tcPr>
          <w:p w14:paraId="4BD8E876"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Istruttore</w:t>
            </w:r>
          </w:p>
          <w:p w14:paraId="5B5AC9D0"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Amministrativo anagrafe</w:t>
            </w:r>
          </w:p>
        </w:tc>
        <w:tc>
          <w:tcPr>
            <w:tcW w:w="2255" w:type="dxa"/>
            <w:tcBorders>
              <w:top w:val="single" w:sz="4" w:space="0" w:color="auto"/>
              <w:left w:val="single" w:sz="4" w:space="0" w:color="auto"/>
              <w:bottom w:val="single" w:sz="4" w:space="0" w:color="auto"/>
              <w:right w:val="single" w:sz="4" w:space="0" w:color="auto"/>
            </w:tcBorders>
            <w:hideMark/>
          </w:tcPr>
          <w:p w14:paraId="44FD0D53"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Montesegale</w:t>
            </w:r>
          </w:p>
        </w:tc>
        <w:tc>
          <w:tcPr>
            <w:tcW w:w="2728" w:type="dxa"/>
            <w:tcBorders>
              <w:top w:val="single" w:sz="4" w:space="0" w:color="auto"/>
              <w:left w:val="single" w:sz="4" w:space="0" w:color="auto"/>
              <w:bottom w:val="single" w:sz="4" w:space="0" w:color="auto"/>
              <w:right w:val="single" w:sz="4" w:space="0" w:color="auto"/>
            </w:tcBorders>
          </w:tcPr>
          <w:p w14:paraId="3AF4FE0C"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p>
        </w:tc>
      </w:tr>
      <w:tr w:rsidR="00396F9D" w:rsidRPr="002A124D" w14:paraId="3ACE08BA" w14:textId="77777777" w:rsidTr="00CB48FD">
        <w:trPr>
          <w:jc w:val="center"/>
        </w:trPr>
        <w:tc>
          <w:tcPr>
            <w:tcW w:w="1767" w:type="dxa"/>
            <w:tcBorders>
              <w:top w:val="single" w:sz="4" w:space="0" w:color="auto"/>
              <w:left w:val="single" w:sz="4" w:space="0" w:color="auto"/>
              <w:bottom w:val="single" w:sz="4" w:space="0" w:color="auto"/>
              <w:right w:val="single" w:sz="4" w:space="0" w:color="auto"/>
            </w:tcBorders>
            <w:vAlign w:val="center"/>
            <w:hideMark/>
          </w:tcPr>
          <w:p w14:paraId="46C41F85"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lastRenderedPageBreak/>
              <w:t>EX B</w:t>
            </w:r>
          </w:p>
        </w:tc>
        <w:tc>
          <w:tcPr>
            <w:tcW w:w="2746" w:type="dxa"/>
            <w:tcBorders>
              <w:top w:val="single" w:sz="4" w:space="0" w:color="auto"/>
              <w:left w:val="single" w:sz="4" w:space="0" w:color="auto"/>
              <w:bottom w:val="single" w:sz="4" w:space="0" w:color="auto"/>
              <w:right w:val="single" w:sz="4" w:space="0" w:color="auto"/>
            </w:tcBorders>
            <w:vAlign w:val="center"/>
            <w:hideMark/>
          </w:tcPr>
          <w:p w14:paraId="6CFA0D2D"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Collaboratore tecnico cantoniere operaio autista scuolabus</w:t>
            </w:r>
          </w:p>
        </w:tc>
        <w:tc>
          <w:tcPr>
            <w:tcW w:w="2255" w:type="dxa"/>
            <w:tcBorders>
              <w:top w:val="single" w:sz="4" w:space="0" w:color="auto"/>
              <w:left w:val="single" w:sz="4" w:space="0" w:color="auto"/>
              <w:bottom w:val="single" w:sz="4" w:space="0" w:color="auto"/>
              <w:right w:val="single" w:sz="4" w:space="0" w:color="auto"/>
            </w:tcBorders>
            <w:hideMark/>
          </w:tcPr>
          <w:p w14:paraId="4FD86BB6"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Montesegale</w:t>
            </w:r>
          </w:p>
        </w:tc>
        <w:tc>
          <w:tcPr>
            <w:tcW w:w="2728" w:type="dxa"/>
            <w:tcBorders>
              <w:top w:val="single" w:sz="4" w:space="0" w:color="auto"/>
              <w:left w:val="single" w:sz="4" w:space="0" w:color="auto"/>
              <w:bottom w:val="single" w:sz="4" w:space="0" w:color="auto"/>
              <w:right w:val="single" w:sz="4" w:space="0" w:color="auto"/>
            </w:tcBorders>
          </w:tcPr>
          <w:p w14:paraId="3CA90267"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p>
        </w:tc>
      </w:tr>
      <w:tr w:rsidR="00396F9D" w:rsidRPr="002A124D" w14:paraId="367E8547" w14:textId="77777777" w:rsidTr="00CB48FD">
        <w:trPr>
          <w:jc w:val="center"/>
        </w:trPr>
        <w:tc>
          <w:tcPr>
            <w:tcW w:w="1767" w:type="dxa"/>
            <w:tcBorders>
              <w:top w:val="single" w:sz="4" w:space="0" w:color="auto"/>
              <w:left w:val="single" w:sz="4" w:space="0" w:color="auto"/>
              <w:bottom w:val="single" w:sz="4" w:space="0" w:color="auto"/>
              <w:right w:val="single" w:sz="4" w:space="0" w:color="auto"/>
            </w:tcBorders>
            <w:vAlign w:val="center"/>
            <w:hideMark/>
          </w:tcPr>
          <w:p w14:paraId="0D31A336"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EX D</w:t>
            </w:r>
          </w:p>
        </w:tc>
        <w:tc>
          <w:tcPr>
            <w:tcW w:w="2746" w:type="dxa"/>
            <w:tcBorders>
              <w:top w:val="single" w:sz="4" w:space="0" w:color="auto"/>
              <w:left w:val="single" w:sz="4" w:space="0" w:color="auto"/>
              <w:bottom w:val="single" w:sz="4" w:space="0" w:color="auto"/>
              <w:right w:val="single" w:sz="4" w:space="0" w:color="auto"/>
            </w:tcBorders>
            <w:vAlign w:val="center"/>
            <w:hideMark/>
          </w:tcPr>
          <w:p w14:paraId="444F07B6"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 xml:space="preserve">Istruttore </w:t>
            </w:r>
            <w:proofErr w:type="gramStart"/>
            <w:r w:rsidRPr="002A124D">
              <w:rPr>
                <w:rFonts w:ascii="Palatino Linotype" w:eastAsia="Times New Roman" w:hAnsi="Palatino Linotype" w:cs="Times New Roman"/>
                <w:bCs/>
              </w:rPr>
              <w:t>amministrativo  contabile</w:t>
            </w:r>
            <w:proofErr w:type="gramEnd"/>
            <w:r w:rsidRPr="002A124D">
              <w:rPr>
                <w:rFonts w:ascii="Palatino Linotype" w:eastAsia="Times New Roman" w:hAnsi="Palatino Linotype" w:cs="Times New Roman"/>
                <w:bCs/>
              </w:rPr>
              <w:t xml:space="preserve"> demografici</w:t>
            </w:r>
          </w:p>
        </w:tc>
        <w:tc>
          <w:tcPr>
            <w:tcW w:w="2255" w:type="dxa"/>
            <w:tcBorders>
              <w:top w:val="single" w:sz="4" w:space="0" w:color="auto"/>
              <w:left w:val="single" w:sz="4" w:space="0" w:color="auto"/>
              <w:bottom w:val="single" w:sz="4" w:space="0" w:color="auto"/>
              <w:right w:val="single" w:sz="4" w:space="0" w:color="auto"/>
            </w:tcBorders>
            <w:hideMark/>
          </w:tcPr>
          <w:p w14:paraId="26E7BAB1"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Rocca Susella</w:t>
            </w:r>
          </w:p>
        </w:tc>
        <w:tc>
          <w:tcPr>
            <w:tcW w:w="2728" w:type="dxa"/>
            <w:tcBorders>
              <w:top w:val="single" w:sz="4" w:space="0" w:color="auto"/>
              <w:left w:val="single" w:sz="4" w:space="0" w:color="auto"/>
              <w:bottom w:val="single" w:sz="4" w:space="0" w:color="auto"/>
              <w:right w:val="single" w:sz="4" w:space="0" w:color="auto"/>
            </w:tcBorders>
          </w:tcPr>
          <w:p w14:paraId="22F1EF85"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p>
        </w:tc>
      </w:tr>
      <w:tr w:rsidR="00396F9D" w:rsidRPr="002A124D" w14:paraId="0585FB9E" w14:textId="77777777" w:rsidTr="00CB48FD">
        <w:trPr>
          <w:jc w:val="center"/>
        </w:trPr>
        <w:tc>
          <w:tcPr>
            <w:tcW w:w="1767" w:type="dxa"/>
            <w:tcBorders>
              <w:top w:val="single" w:sz="4" w:space="0" w:color="auto"/>
              <w:left w:val="single" w:sz="4" w:space="0" w:color="auto"/>
              <w:bottom w:val="single" w:sz="4" w:space="0" w:color="auto"/>
              <w:right w:val="single" w:sz="4" w:space="0" w:color="auto"/>
            </w:tcBorders>
            <w:vAlign w:val="center"/>
            <w:hideMark/>
          </w:tcPr>
          <w:p w14:paraId="2ECBC4F8"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EX C</w:t>
            </w:r>
          </w:p>
        </w:tc>
        <w:tc>
          <w:tcPr>
            <w:tcW w:w="2746" w:type="dxa"/>
            <w:tcBorders>
              <w:top w:val="single" w:sz="4" w:space="0" w:color="auto"/>
              <w:left w:val="single" w:sz="4" w:space="0" w:color="auto"/>
              <w:bottom w:val="single" w:sz="4" w:space="0" w:color="auto"/>
              <w:right w:val="single" w:sz="4" w:space="0" w:color="auto"/>
            </w:tcBorders>
            <w:vAlign w:val="center"/>
            <w:hideMark/>
          </w:tcPr>
          <w:p w14:paraId="5A501F35"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Istruttore</w:t>
            </w:r>
          </w:p>
          <w:p w14:paraId="4ECA082C"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Amministrativo</w:t>
            </w:r>
          </w:p>
          <w:p w14:paraId="37A86A9C"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Contabile</w:t>
            </w:r>
          </w:p>
        </w:tc>
        <w:tc>
          <w:tcPr>
            <w:tcW w:w="2255" w:type="dxa"/>
            <w:tcBorders>
              <w:top w:val="single" w:sz="4" w:space="0" w:color="auto"/>
              <w:left w:val="single" w:sz="4" w:space="0" w:color="auto"/>
              <w:bottom w:val="single" w:sz="4" w:space="0" w:color="auto"/>
              <w:right w:val="single" w:sz="4" w:space="0" w:color="auto"/>
            </w:tcBorders>
            <w:hideMark/>
          </w:tcPr>
          <w:p w14:paraId="530EA85B"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Unione dei Comuni Lombarda Borghi e Valli d’Oltrepo’</w:t>
            </w:r>
          </w:p>
        </w:tc>
        <w:tc>
          <w:tcPr>
            <w:tcW w:w="2728" w:type="dxa"/>
            <w:tcBorders>
              <w:top w:val="single" w:sz="4" w:space="0" w:color="auto"/>
              <w:left w:val="single" w:sz="4" w:space="0" w:color="auto"/>
              <w:bottom w:val="single" w:sz="4" w:space="0" w:color="auto"/>
              <w:right w:val="single" w:sz="4" w:space="0" w:color="auto"/>
            </w:tcBorders>
          </w:tcPr>
          <w:p w14:paraId="745D820C"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highlight w:val="yellow"/>
              </w:rPr>
            </w:pPr>
          </w:p>
          <w:p w14:paraId="42530224"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highlight w:val="yellow"/>
              </w:rPr>
            </w:pPr>
          </w:p>
        </w:tc>
      </w:tr>
      <w:tr w:rsidR="00396F9D" w:rsidRPr="002A124D" w14:paraId="24B373D2" w14:textId="77777777" w:rsidTr="00CB48FD">
        <w:trPr>
          <w:jc w:val="center"/>
        </w:trPr>
        <w:tc>
          <w:tcPr>
            <w:tcW w:w="1767" w:type="dxa"/>
            <w:tcBorders>
              <w:top w:val="single" w:sz="4" w:space="0" w:color="auto"/>
              <w:left w:val="single" w:sz="4" w:space="0" w:color="auto"/>
              <w:bottom w:val="single" w:sz="4" w:space="0" w:color="auto"/>
              <w:right w:val="single" w:sz="4" w:space="0" w:color="auto"/>
            </w:tcBorders>
            <w:vAlign w:val="center"/>
            <w:hideMark/>
          </w:tcPr>
          <w:p w14:paraId="00129C64"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EX C</w:t>
            </w:r>
          </w:p>
        </w:tc>
        <w:tc>
          <w:tcPr>
            <w:tcW w:w="2746" w:type="dxa"/>
            <w:tcBorders>
              <w:top w:val="single" w:sz="4" w:space="0" w:color="auto"/>
              <w:left w:val="single" w:sz="4" w:space="0" w:color="auto"/>
              <w:bottom w:val="single" w:sz="4" w:space="0" w:color="auto"/>
              <w:right w:val="single" w:sz="4" w:space="0" w:color="auto"/>
            </w:tcBorders>
            <w:vAlign w:val="center"/>
          </w:tcPr>
          <w:p w14:paraId="65066073"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Istruttore</w:t>
            </w:r>
          </w:p>
          <w:p w14:paraId="40AEF77E"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Amministrativo-demografici</w:t>
            </w:r>
          </w:p>
          <w:p w14:paraId="13596A7A"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p>
        </w:tc>
        <w:tc>
          <w:tcPr>
            <w:tcW w:w="2255" w:type="dxa"/>
            <w:tcBorders>
              <w:top w:val="single" w:sz="4" w:space="0" w:color="auto"/>
              <w:left w:val="single" w:sz="4" w:space="0" w:color="auto"/>
              <w:bottom w:val="single" w:sz="4" w:space="0" w:color="auto"/>
              <w:right w:val="single" w:sz="4" w:space="0" w:color="auto"/>
            </w:tcBorders>
            <w:hideMark/>
          </w:tcPr>
          <w:p w14:paraId="68568BA8"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Unione dei Comuni Lombarda Borghi e Valli d’Oltrepo’</w:t>
            </w:r>
          </w:p>
        </w:tc>
        <w:tc>
          <w:tcPr>
            <w:tcW w:w="2728" w:type="dxa"/>
            <w:tcBorders>
              <w:top w:val="single" w:sz="4" w:space="0" w:color="auto"/>
              <w:left w:val="single" w:sz="4" w:space="0" w:color="auto"/>
              <w:bottom w:val="single" w:sz="4" w:space="0" w:color="auto"/>
              <w:right w:val="single" w:sz="4" w:space="0" w:color="auto"/>
            </w:tcBorders>
          </w:tcPr>
          <w:p w14:paraId="5B3894DB"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p>
        </w:tc>
      </w:tr>
      <w:tr w:rsidR="00396F9D" w:rsidRPr="002A124D" w14:paraId="6A2E69E9" w14:textId="77777777" w:rsidTr="00CB48FD">
        <w:trPr>
          <w:jc w:val="center"/>
        </w:trPr>
        <w:tc>
          <w:tcPr>
            <w:tcW w:w="1767" w:type="dxa"/>
            <w:tcBorders>
              <w:top w:val="single" w:sz="4" w:space="0" w:color="auto"/>
              <w:left w:val="single" w:sz="4" w:space="0" w:color="auto"/>
              <w:bottom w:val="single" w:sz="4" w:space="0" w:color="auto"/>
              <w:right w:val="single" w:sz="4" w:space="0" w:color="auto"/>
            </w:tcBorders>
            <w:vAlign w:val="center"/>
            <w:hideMark/>
          </w:tcPr>
          <w:p w14:paraId="136F0619"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EX B</w:t>
            </w:r>
          </w:p>
        </w:tc>
        <w:tc>
          <w:tcPr>
            <w:tcW w:w="2746" w:type="dxa"/>
            <w:tcBorders>
              <w:top w:val="single" w:sz="4" w:space="0" w:color="auto"/>
              <w:left w:val="single" w:sz="4" w:space="0" w:color="auto"/>
              <w:bottom w:val="single" w:sz="4" w:space="0" w:color="auto"/>
              <w:right w:val="single" w:sz="4" w:space="0" w:color="auto"/>
            </w:tcBorders>
            <w:vAlign w:val="center"/>
            <w:hideMark/>
          </w:tcPr>
          <w:p w14:paraId="2549B983"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Collaboratore tecnico cantoniere necroforo autista scuolabus</w:t>
            </w:r>
          </w:p>
        </w:tc>
        <w:tc>
          <w:tcPr>
            <w:tcW w:w="2255" w:type="dxa"/>
            <w:tcBorders>
              <w:top w:val="single" w:sz="4" w:space="0" w:color="auto"/>
              <w:left w:val="single" w:sz="4" w:space="0" w:color="auto"/>
              <w:bottom w:val="single" w:sz="4" w:space="0" w:color="auto"/>
              <w:right w:val="single" w:sz="4" w:space="0" w:color="auto"/>
            </w:tcBorders>
            <w:hideMark/>
          </w:tcPr>
          <w:p w14:paraId="185E948F"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Unione dei Comuni Lombarda Borghi e Valli d’Oltrepo’</w:t>
            </w:r>
          </w:p>
        </w:tc>
        <w:tc>
          <w:tcPr>
            <w:tcW w:w="2728" w:type="dxa"/>
            <w:tcBorders>
              <w:top w:val="single" w:sz="4" w:space="0" w:color="auto"/>
              <w:left w:val="single" w:sz="4" w:space="0" w:color="auto"/>
              <w:bottom w:val="single" w:sz="4" w:space="0" w:color="auto"/>
              <w:right w:val="single" w:sz="4" w:space="0" w:color="auto"/>
            </w:tcBorders>
            <w:hideMark/>
          </w:tcPr>
          <w:p w14:paraId="7F75EDBD"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Vacante dal 17/12/2024</w:t>
            </w:r>
          </w:p>
        </w:tc>
      </w:tr>
      <w:tr w:rsidR="00396F9D" w:rsidRPr="002A124D" w14:paraId="5B002867" w14:textId="77777777" w:rsidTr="00CB48FD">
        <w:trPr>
          <w:jc w:val="center"/>
        </w:trPr>
        <w:tc>
          <w:tcPr>
            <w:tcW w:w="1767" w:type="dxa"/>
            <w:tcBorders>
              <w:top w:val="single" w:sz="4" w:space="0" w:color="auto"/>
              <w:left w:val="single" w:sz="4" w:space="0" w:color="auto"/>
              <w:bottom w:val="single" w:sz="4" w:space="0" w:color="auto"/>
              <w:right w:val="single" w:sz="4" w:space="0" w:color="auto"/>
            </w:tcBorders>
            <w:vAlign w:val="center"/>
          </w:tcPr>
          <w:p w14:paraId="11A21266"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p>
        </w:tc>
        <w:tc>
          <w:tcPr>
            <w:tcW w:w="2746" w:type="dxa"/>
            <w:tcBorders>
              <w:top w:val="single" w:sz="4" w:space="0" w:color="auto"/>
              <w:left w:val="single" w:sz="4" w:space="0" w:color="auto"/>
              <w:bottom w:val="single" w:sz="4" w:space="0" w:color="auto"/>
              <w:right w:val="single" w:sz="4" w:space="0" w:color="auto"/>
            </w:tcBorders>
            <w:vAlign w:val="center"/>
          </w:tcPr>
          <w:p w14:paraId="11A8851C"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p>
        </w:tc>
        <w:tc>
          <w:tcPr>
            <w:tcW w:w="2255" w:type="dxa"/>
            <w:tcBorders>
              <w:top w:val="single" w:sz="4" w:space="0" w:color="auto"/>
              <w:left w:val="single" w:sz="4" w:space="0" w:color="auto"/>
              <w:bottom w:val="single" w:sz="4" w:space="0" w:color="auto"/>
              <w:right w:val="single" w:sz="4" w:space="0" w:color="auto"/>
            </w:tcBorders>
          </w:tcPr>
          <w:p w14:paraId="0907438A"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p>
        </w:tc>
        <w:tc>
          <w:tcPr>
            <w:tcW w:w="2728" w:type="dxa"/>
            <w:tcBorders>
              <w:top w:val="single" w:sz="4" w:space="0" w:color="auto"/>
              <w:left w:val="single" w:sz="4" w:space="0" w:color="auto"/>
              <w:bottom w:val="single" w:sz="4" w:space="0" w:color="auto"/>
              <w:right w:val="single" w:sz="4" w:space="0" w:color="auto"/>
            </w:tcBorders>
          </w:tcPr>
          <w:p w14:paraId="76B6B9BB"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p>
        </w:tc>
      </w:tr>
    </w:tbl>
    <w:p w14:paraId="301ADFCB" w14:textId="7F00E66D" w:rsidR="00396F9D" w:rsidRPr="002A124D" w:rsidRDefault="00396F9D" w:rsidP="00396F9D">
      <w:pPr>
        <w:spacing w:after="200" w:line="276" w:lineRule="auto"/>
        <w:jc w:val="both"/>
        <w:rPr>
          <w:rFonts w:ascii="Palatino Linotype" w:eastAsia="Calibri" w:hAnsi="Palatino Linotype" w:cs="Calibri"/>
          <w:sz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98"/>
      </w:tblGrid>
      <w:tr w:rsidR="00396F9D" w:rsidRPr="002A124D" w14:paraId="62FAD27B" w14:textId="77777777" w:rsidTr="00CB48FD">
        <w:tc>
          <w:tcPr>
            <w:tcW w:w="9498" w:type="dxa"/>
            <w:tcBorders>
              <w:top w:val="single" w:sz="4" w:space="0" w:color="auto"/>
              <w:left w:val="single" w:sz="4" w:space="0" w:color="auto"/>
              <w:bottom w:val="single" w:sz="4" w:space="0" w:color="auto"/>
              <w:right w:val="single" w:sz="4" w:space="0" w:color="auto"/>
            </w:tcBorders>
            <w:hideMark/>
          </w:tcPr>
          <w:p w14:paraId="12084990" w14:textId="3FC36410" w:rsidR="00396F9D" w:rsidRPr="002A124D" w:rsidRDefault="00CE31BE" w:rsidP="00CB48FD">
            <w:pPr>
              <w:spacing w:after="200" w:line="276" w:lineRule="auto"/>
              <w:jc w:val="center"/>
              <w:rPr>
                <w:rFonts w:ascii="Palatino Linotype" w:eastAsia="Calibri" w:hAnsi="Palatino Linotype" w:cs="Calibri"/>
                <w:b/>
                <w:bCs/>
                <w:lang w:eastAsia="it-IT"/>
              </w:rPr>
            </w:pPr>
            <w:r>
              <w:rPr>
                <w:rFonts w:ascii="Palatino Linotype" w:eastAsia="Calibri" w:hAnsi="Palatino Linotype" w:cs="Calibri"/>
                <w:b/>
                <w:bCs/>
                <w:lang w:eastAsia="it-IT"/>
              </w:rPr>
              <w:t xml:space="preserve">3.3.5 </w:t>
            </w:r>
            <w:r w:rsidR="00396F9D" w:rsidRPr="002A124D">
              <w:rPr>
                <w:rFonts w:ascii="Palatino Linotype" w:eastAsia="Calibri" w:hAnsi="Palatino Linotype" w:cs="Calibri"/>
                <w:b/>
                <w:bCs/>
                <w:lang w:eastAsia="it-IT"/>
              </w:rPr>
              <w:t>PROGRAMMAZIONE DEL FABBISOGNO DI PERSONALE</w:t>
            </w:r>
          </w:p>
        </w:tc>
      </w:tr>
    </w:tbl>
    <w:p w14:paraId="4B69A93A" w14:textId="77777777" w:rsidR="00396F9D" w:rsidRPr="002A124D" w:rsidRDefault="00396F9D" w:rsidP="00396F9D">
      <w:pPr>
        <w:spacing w:after="200" w:line="276" w:lineRule="auto"/>
        <w:rPr>
          <w:rFonts w:ascii="Palatino Linotype" w:eastAsia="Calibri" w:hAnsi="Palatino Linotype" w:cs="Calibri"/>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3"/>
        <w:gridCol w:w="152"/>
        <w:gridCol w:w="222"/>
        <w:gridCol w:w="5053"/>
      </w:tblGrid>
      <w:tr w:rsidR="00396F9D" w:rsidRPr="002A124D" w14:paraId="03D31396" w14:textId="77777777" w:rsidTr="00CE31BE">
        <w:trPr>
          <w:trHeight w:val="315"/>
        </w:trPr>
        <w:tc>
          <w:tcPr>
            <w:tcW w:w="4245" w:type="dxa"/>
            <w:gridSpan w:val="2"/>
            <w:tcBorders>
              <w:top w:val="single" w:sz="4" w:space="0" w:color="auto"/>
              <w:left w:val="single" w:sz="4" w:space="0" w:color="auto"/>
              <w:bottom w:val="single" w:sz="4" w:space="0" w:color="auto"/>
              <w:right w:val="single" w:sz="4" w:space="0" w:color="auto"/>
            </w:tcBorders>
            <w:noWrap/>
            <w:hideMark/>
          </w:tcPr>
          <w:p w14:paraId="2F8DE92B"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rPr>
            </w:pPr>
            <w:r w:rsidRPr="002A124D">
              <w:rPr>
                <w:rFonts w:ascii="Palatino Linotype" w:eastAsia="Times New Roman" w:hAnsi="Palatino Linotype" w:cs="Times New Roman"/>
                <w:bCs/>
              </w:rPr>
              <w:t>Nuova assunzione</w:t>
            </w:r>
          </w:p>
        </w:tc>
        <w:tc>
          <w:tcPr>
            <w:tcW w:w="5275" w:type="dxa"/>
            <w:gridSpan w:val="2"/>
            <w:tcBorders>
              <w:top w:val="single" w:sz="4" w:space="0" w:color="auto"/>
              <w:left w:val="single" w:sz="4" w:space="0" w:color="auto"/>
              <w:bottom w:val="single" w:sz="4" w:space="0" w:color="auto"/>
              <w:right w:val="single" w:sz="4" w:space="0" w:color="auto"/>
            </w:tcBorders>
            <w:noWrap/>
            <w:hideMark/>
          </w:tcPr>
          <w:p w14:paraId="58BFAC8E" w14:textId="77777777" w:rsidR="000239E4" w:rsidRPr="000239E4" w:rsidRDefault="00396F9D" w:rsidP="000239E4">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202</w:t>
            </w:r>
            <w:r>
              <w:rPr>
                <w:rFonts w:ascii="Palatino Linotype" w:eastAsia="Times New Roman" w:hAnsi="Palatino Linotype" w:cs="Times New Roman"/>
                <w:bCs/>
              </w:rPr>
              <w:t>6</w:t>
            </w:r>
            <w:r w:rsidRPr="002A124D">
              <w:rPr>
                <w:rFonts w:ascii="Palatino Linotype" w:eastAsia="Times New Roman" w:hAnsi="Palatino Linotype" w:cs="Times New Roman"/>
                <w:bCs/>
              </w:rPr>
              <w:t xml:space="preserve">: </w:t>
            </w:r>
            <w:r w:rsidR="000239E4" w:rsidRPr="000239E4">
              <w:rPr>
                <w:rFonts w:ascii="Palatino Linotype" w:eastAsia="Times New Roman" w:hAnsi="Palatino Linotype" w:cs="Times New Roman"/>
                <w:bCs/>
              </w:rPr>
              <w:t>1 Dipendente EX Cat B Area degli operatori esperti destinarsi in caso di scioglimento dell’Unione al Comune di Rocca Susella.</w:t>
            </w:r>
          </w:p>
          <w:p w14:paraId="3D7AB5A8" w14:textId="4C4B9BC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202</w:t>
            </w:r>
            <w:r>
              <w:rPr>
                <w:rFonts w:ascii="Palatino Linotype" w:eastAsia="Times New Roman" w:hAnsi="Palatino Linotype" w:cs="Times New Roman"/>
                <w:bCs/>
              </w:rPr>
              <w:t>7</w:t>
            </w:r>
            <w:r w:rsidRPr="002A124D">
              <w:rPr>
                <w:rFonts w:ascii="Palatino Linotype" w:eastAsia="Times New Roman" w:hAnsi="Palatino Linotype" w:cs="Times New Roman"/>
                <w:bCs/>
              </w:rPr>
              <w:t>: ==</w:t>
            </w:r>
          </w:p>
          <w:p w14:paraId="2797C0FB"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202</w:t>
            </w:r>
            <w:r>
              <w:rPr>
                <w:rFonts w:ascii="Palatino Linotype" w:eastAsia="Times New Roman" w:hAnsi="Palatino Linotype" w:cs="Times New Roman"/>
                <w:bCs/>
              </w:rPr>
              <w:t>8</w:t>
            </w:r>
            <w:r w:rsidRPr="002A124D">
              <w:rPr>
                <w:rFonts w:ascii="Palatino Linotype" w:eastAsia="Times New Roman" w:hAnsi="Palatino Linotype" w:cs="Times New Roman"/>
                <w:bCs/>
              </w:rPr>
              <w:t>: ==</w:t>
            </w:r>
          </w:p>
        </w:tc>
      </w:tr>
      <w:tr w:rsidR="00396F9D" w:rsidRPr="002A124D" w14:paraId="2B70AEF7" w14:textId="77777777" w:rsidTr="00CE31BE">
        <w:trPr>
          <w:trHeight w:val="315"/>
        </w:trPr>
        <w:tc>
          <w:tcPr>
            <w:tcW w:w="4245" w:type="dxa"/>
            <w:gridSpan w:val="2"/>
            <w:tcBorders>
              <w:top w:val="single" w:sz="4" w:space="0" w:color="auto"/>
              <w:left w:val="single" w:sz="4" w:space="0" w:color="auto"/>
              <w:bottom w:val="single" w:sz="4" w:space="0" w:color="auto"/>
              <w:right w:val="single" w:sz="4" w:space="0" w:color="auto"/>
            </w:tcBorders>
            <w:noWrap/>
            <w:hideMark/>
          </w:tcPr>
          <w:p w14:paraId="53A31006" w14:textId="77777777" w:rsidR="00396F9D" w:rsidRPr="002A124D" w:rsidRDefault="00396F9D" w:rsidP="00CB48FD">
            <w:pPr>
              <w:tabs>
                <w:tab w:val="center" w:pos="7371"/>
              </w:tabs>
              <w:spacing w:after="120" w:line="480" w:lineRule="auto"/>
              <w:rPr>
                <w:rFonts w:ascii="Palatino Linotype" w:eastAsia="Times New Roman" w:hAnsi="Palatino Linotype" w:cs="Times New Roman"/>
                <w:bCs/>
              </w:rPr>
            </w:pPr>
            <w:r w:rsidRPr="002A124D">
              <w:rPr>
                <w:rFonts w:ascii="Palatino Linotype" w:eastAsia="Times New Roman" w:hAnsi="Palatino Linotype" w:cs="Times New Roman"/>
                <w:bCs/>
              </w:rPr>
              <w:t xml:space="preserve">Altre forme di lavoro flessibile- </w:t>
            </w:r>
          </w:p>
        </w:tc>
        <w:tc>
          <w:tcPr>
            <w:tcW w:w="5275" w:type="dxa"/>
            <w:gridSpan w:val="2"/>
            <w:tcBorders>
              <w:top w:val="single" w:sz="4" w:space="0" w:color="auto"/>
              <w:left w:val="single" w:sz="4" w:space="0" w:color="auto"/>
              <w:bottom w:val="single" w:sz="4" w:space="0" w:color="auto"/>
              <w:right w:val="single" w:sz="4" w:space="0" w:color="auto"/>
            </w:tcBorders>
            <w:noWrap/>
            <w:hideMark/>
          </w:tcPr>
          <w:p w14:paraId="31AA884D" w14:textId="77777777" w:rsidR="00396F9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202</w:t>
            </w:r>
            <w:r>
              <w:rPr>
                <w:rFonts w:ascii="Palatino Linotype" w:eastAsia="Times New Roman" w:hAnsi="Palatino Linotype" w:cs="Times New Roman"/>
                <w:bCs/>
              </w:rPr>
              <w:t>6</w:t>
            </w:r>
            <w:r w:rsidRPr="002A124D">
              <w:rPr>
                <w:rFonts w:ascii="Palatino Linotype" w:eastAsia="Times New Roman" w:hAnsi="Palatino Linotype" w:cs="Times New Roman"/>
                <w:bCs/>
              </w:rPr>
              <w:t>: eventuali forme di convenzioni fra Enti</w:t>
            </w:r>
            <w:r>
              <w:rPr>
                <w:rFonts w:ascii="Palatino Linotype" w:eastAsia="Times New Roman" w:hAnsi="Palatino Linotype" w:cs="Times New Roman"/>
                <w:bCs/>
              </w:rPr>
              <w:t xml:space="preserve"> e/o somministrazione di Personale in caso di necessità dovuta a picchi di lavoro oppure assenza per periodi prolungati di personale assegnato all’Ente-</w:t>
            </w:r>
          </w:p>
          <w:p w14:paraId="74EEF0F4" w14:textId="6C1AE712" w:rsidR="00100FEE" w:rsidRPr="002A124D" w:rsidRDefault="00100FEE" w:rsidP="00CB48FD">
            <w:pPr>
              <w:tabs>
                <w:tab w:val="center" w:pos="7371"/>
              </w:tabs>
              <w:spacing w:after="120" w:line="276" w:lineRule="auto"/>
              <w:rPr>
                <w:rFonts w:ascii="Palatino Linotype" w:eastAsia="Times New Roman" w:hAnsi="Palatino Linotype" w:cs="Times New Roman"/>
                <w:bCs/>
              </w:rPr>
            </w:pPr>
            <w:r>
              <w:rPr>
                <w:rFonts w:ascii="Palatino Linotype" w:eastAsia="Times New Roman" w:hAnsi="Palatino Linotype" w:cs="Times New Roman"/>
                <w:bCs/>
              </w:rPr>
              <w:t>Convenzione con altro Ente per la copertura di posizione area Urbanistica- LLPP</w:t>
            </w:r>
          </w:p>
          <w:p w14:paraId="763BCECE"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202</w:t>
            </w:r>
            <w:r>
              <w:rPr>
                <w:rFonts w:ascii="Palatino Linotype" w:eastAsia="Times New Roman" w:hAnsi="Palatino Linotype" w:cs="Times New Roman"/>
                <w:bCs/>
              </w:rPr>
              <w:t>7</w:t>
            </w:r>
            <w:r w:rsidRPr="002A124D">
              <w:rPr>
                <w:rFonts w:ascii="Palatino Linotype" w:eastAsia="Times New Roman" w:hAnsi="Palatino Linotype" w:cs="Times New Roman"/>
                <w:bCs/>
              </w:rPr>
              <w:t>: ==</w:t>
            </w:r>
          </w:p>
          <w:p w14:paraId="6F79B70F" w14:textId="77777777" w:rsidR="00396F9D" w:rsidRPr="002A124D" w:rsidRDefault="00396F9D" w:rsidP="00CB48FD">
            <w:pPr>
              <w:tabs>
                <w:tab w:val="center" w:pos="7371"/>
              </w:tabs>
              <w:spacing w:after="120" w:line="276" w:lineRule="auto"/>
              <w:rPr>
                <w:rFonts w:ascii="Palatino Linotype" w:eastAsia="Times New Roman" w:hAnsi="Palatino Linotype" w:cs="Times New Roman"/>
                <w:bCs/>
              </w:rPr>
            </w:pPr>
            <w:r w:rsidRPr="002A124D">
              <w:rPr>
                <w:rFonts w:ascii="Palatino Linotype" w:eastAsia="Times New Roman" w:hAnsi="Palatino Linotype" w:cs="Times New Roman"/>
                <w:bCs/>
              </w:rPr>
              <w:t>202</w:t>
            </w:r>
            <w:r>
              <w:rPr>
                <w:rFonts w:ascii="Palatino Linotype" w:eastAsia="Times New Roman" w:hAnsi="Palatino Linotype" w:cs="Times New Roman"/>
                <w:bCs/>
              </w:rPr>
              <w:t>8</w:t>
            </w:r>
            <w:r w:rsidRPr="002A124D">
              <w:rPr>
                <w:rFonts w:ascii="Palatino Linotype" w:eastAsia="Times New Roman" w:hAnsi="Palatino Linotype" w:cs="Times New Roman"/>
                <w:bCs/>
              </w:rPr>
              <w:t>: ==</w:t>
            </w:r>
          </w:p>
        </w:tc>
      </w:tr>
      <w:tr w:rsidR="00396F9D" w:rsidRPr="002A124D" w14:paraId="7DD7BDEB" w14:textId="77777777" w:rsidTr="00CE31BE">
        <w:tc>
          <w:tcPr>
            <w:tcW w:w="9520" w:type="dxa"/>
            <w:gridSpan w:val="4"/>
            <w:tcBorders>
              <w:top w:val="single" w:sz="4" w:space="0" w:color="auto"/>
              <w:left w:val="single" w:sz="4" w:space="0" w:color="auto"/>
              <w:bottom w:val="single" w:sz="4" w:space="0" w:color="auto"/>
              <w:right w:val="single" w:sz="4" w:space="0" w:color="auto"/>
            </w:tcBorders>
            <w:hideMark/>
          </w:tcPr>
          <w:p w14:paraId="5BB763EC" w14:textId="77777777" w:rsidR="00396F9D" w:rsidRDefault="00396F9D" w:rsidP="00CB48FD">
            <w:pPr>
              <w:spacing w:after="200" w:line="276" w:lineRule="auto"/>
              <w:jc w:val="center"/>
              <w:rPr>
                <w:rFonts w:ascii="Palatino Linotype" w:eastAsia="Calibri" w:hAnsi="Palatino Linotype" w:cs="Calibri"/>
                <w:b/>
                <w:bCs/>
                <w:sz w:val="28"/>
                <w:szCs w:val="28"/>
                <w:lang w:eastAsia="it-IT"/>
              </w:rPr>
            </w:pPr>
            <w:r w:rsidRPr="002A124D">
              <w:rPr>
                <w:rFonts w:ascii="Palatino Linotype" w:eastAsia="Calibri" w:hAnsi="Palatino Linotype" w:cs="Calibri"/>
                <w:b/>
                <w:bCs/>
                <w:sz w:val="28"/>
                <w:szCs w:val="28"/>
                <w:lang w:eastAsia="it-IT"/>
              </w:rPr>
              <w:lastRenderedPageBreak/>
              <w:t>Strategia di copertura del fabbisogno</w:t>
            </w:r>
          </w:p>
          <w:p w14:paraId="485CC3C9"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Questa parte attiene all’illustrazione delle strategie di attrazione (anche tramite politiche attive) e acquisizione delle competenze necessarie e individua le scelte qualitative e quantitative di copertura dei fabbisogni (con riferimento ai contingenti e ai profili), attraverso il ricorso a:</w:t>
            </w:r>
          </w:p>
          <w:p w14:paraId="29CFE178"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 soluzioni interne all’amministrazione;</w:t>
            </w:r>
          </w:p>
          <w:p w14:paraId="27097E34"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 mobilità interna tra settori/aree/dipartimenti;</w:t>
            </w:r>
          </w:p>
          <w:p w14:paraId="323B60EA"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 meccanismi di progressione di carriera interni;</w:t>
            </w:r>
          </w:p>
          <w:p w14:paraId="2B01CA8C"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 riqualificazione funzionale (tramite formazione e/o percorsi di affiancamento);</w:t>
            </w:r>
          </w:p>
          <w:p w14:paraId="7EC43905"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 xml:space="preserve">- </w:t>
            </w:r>
            <w:r w:rsidRPr="00CE31BE">
              <w:rPr>
                <w:rFonts w:ascii="Palatino Linotype" w:eastAsia="Calibri" w:hAnsi="Palatino Linotype" w:cs="Calibri"/>
                <w:i/>
                <w:iCs/>
              </w:rPr>
              <w:t>job enlargement</w:t>
            </w:r>
            <w:r w:rsidRPr="00CE31BE">
              <w:rPr>
                <w:rFonts w:ascii="Palatino Linotype" w:eastAsia="Calibri" w:hAnsi="Palatino Linotype" w:cs="Calibri"/>
              </w:rPr>
              <w:t xml:space="preserve"> attraverso la riscrittura dei profili professionali;</w:t>
            </w:r>
          </w:p>
          <w:p w14:paraId="48CC5EB1"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 soluzioni esterne all’amministrazione;</w:t>
            </w:r>
          </w:p>
          <w:p w14:paraId="6359791A"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 mobilità esterna in/out o altre forme di assegnazione temporanea di personale tra PPAA</w:t>
            </w:r>
          </w:p>
          <w:p w14:paraId="7A87BB40"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(comandi e distacchi) e con il mondo privato (convenzioni);</w:t>
            </w:r>
          </w:p>
          <w:p w14:paraId="44277A2A"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 ricorso a forme flessibili di lavoro;</w:t>
            </w:r>
          </w:p>
          <w:p w14:paraId="39867719"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 concorsi;</w:t>
            </w:r>
          </w:p>
          <w:p w14:paraId="7693CBC0"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 stabilizzazioni.</w:t>
            </w:r>
          </w:p>
          <w:p w14:paraId="1CF4FE98" w14:textId="2D1122B8" w:rsidR="00CE31BE" w:rsidRPr="002A124D" w:rsidRDefault="00CE31BE" w:rsidP="00CB48FD">
            <w:pPr>
              <w:spacing w:after="200" w:line="276" w:lineRule="auto"/>
              <w:jc w:val="center"/>
              <w:rPr>
                <w:rFonts w:ascii="Palatino Linotype" w:eastAsia="Calibri" w:hAnsi="Palatino Linotype" w:cs="Calibri"/>
                <w:b/>
                <w:bCs/>
                <w:sz w:val="28"/>
                <w:szCs w:val="28"/>
                <w:lang w:eastAsia="it-IT"/>
              </w:rPr>
            </w:pPr>
          </w:p>
        </w:tc>
      </w:tr>
      <w:tr w:rsidR="00396F9D" w:rsidRPr="002A124D" w14:paraId="0AA05773" w14:textId="77777777" w:rsidTr="00CE31BE">
        <w:tc>
          <w:tcPr>
            <w:tcW w:w="4467" w:type="dxa"/>
            <w:gridSpan w:val="3"/>
            <w:tcBorders>
              <w:top w:val="single" w:sz="4" w:space="0" w:color="auto"/>
              <w:left w:val="single" w:sz="4" w:space="0" w:color="auto"/>
              <w:bottom w:val="single" w:sz="4" w:space="0" w:color="auto"/>
              <w:right w:val="single" w:sz="4" w:space="0" w:color="auto"/>
            </w:tcBorders>
            <w:hideMark/>
          </w:tcPr>
          <w:p w14:paraId="589DE31F" w14:textId="77777777" w:rsidR="00396F9D" w:rsidRPr="002A124D" w:rsidRDefault="00396F9D" w:rsidP="00CB48FD">
            <w:pPr>
              <w:spacing w:after="200" w:line="276" w:lineRule="auto"/>
              <w:rPr>
                <w:rFonts w:ascii="Palatino Linotype" w:eastAsia="Calibri" w:hAnsi="Palatino Linotype" w:cs="Calibri"/>
                <w:sz w:val="20"/>
                <w:szCs w:val="20"/>
                <w:lang w:eastAsia="it-IT"/>
              </w:rPr>
            </w:pPr>
            <w:r w:rsidRPr="002A124D">
              <w:rPr>
                <w:rFonts w:ascii="Palatino Linotype" w:eastAsia="Calibri" w:hAnsi="Palatino Linotype" w:cs="Calibri"/>
                <w:sz w:val="20"/>
                <w:szCs w:val="20"/>
                <w:lang w:eastAsia="it-IT"/>
              </w:rPr>
              <w:t>Mobilità/Concorsi</w:t>
            </w:r>
          </w:p>
        </w:tc>
        <w:tc>
          <w:tcPr>
            <w:tcW w:w="5053" w:type="dxa"/>
            <w:tcBorders>
              <w:top w:val="single" w:sz="4" w:space="0" w:color="auto"/>
              <w:left w:val="single" w:sz="4" w:space="0" w:color="auto"/>
              <w:bottom w:val="single" w:sz="4" w:space="0" w:color="auto"/>
              <w:right w:val="single" w:sz="4" w:space="0" w:color="auto"/>
            </w:tcBorders>
          </w:tcPr>
          <w:p w14:paraId="3C1EF4C1" w14:textId="77777777" w:rsidR="00396F9D" w:rsidRPr="002A124D" w:rsidRDefault="00396F9D" w:rsidP="00CB48FD">
            <w:pPr>
              <w:spacing w:after="200" w:line="276" w:lineRule="auto"/>
              <w:rPr>
                <w:rFonts w:ascii="Palatino Linotype" w:eastAsia="Calibri" w:hAnsi="Palatino Linotype" w:cs="Calibri"/>
                <w:sz w:val="20"/>
                <w:szCs w:val="20"/>
                <w:lang w:eastAsia="it-IT"/>
              </w:rPr>
            </w:pPr>
          </w:p>
        </w:tc>
      </w:tr>
      <w:tr w:rsidR="00396F9D" w:rsidRPr="002A124D" w14:paraId="1EDAAE02" w14:textId="77777777" w:rsidTr="00CE31BE">
        <w:tc>
          <w:tcPr>
            <w:tcW w:w="4467" w:type="dxa"/>
            <w:gridSpan w:val="3"/>
            <w:tcBorders>
              <w:top w:val="single" w:sz="4" w:space="0" w:color="auto"/>
              <w:left w:val="single" w:sz="4" w:space="0" w:color="auto"/>
              <w:bottom w:val="single" w:sz="4" w:space="0" w:color="auto"/>
              <w:right w:val="single" w:sz="4" w:space="0" w:color="auto"/>
            </w:tcBorders>
            <w:hideMark/>
          </w:tcPr>
          <w:p w14:paraId="44478742" w14:textId="77777777" w:rsidR="00396F9D" w:rsidRPr="002A124D" w:rsidRDefault="00396F9D" w:rsidP="00CB48FD">
            <w:pPr>
              <w:spacing w:after="200" w:line="276" w:lineRule="auto"/>
              <w:jc w:val="right"/>
              <w:rPr>
                <w:rFonts w:ascii="Palatino Linotype" w:eastAsia="Calibri" w:hAnsi="Palatino Linotype" w:cs="Calibri"/>
                <w:sz w:val="20"/>
                <w:szCs w:val="20"/>
                <w:lang w:eastAsia="it-IT"/>
              </w:rPr>
            </w:pPr>
            <w:r w:rsidRPr="002A124D">
              <w:rPr>
                <w:rFonts w:ascii="Palatino Linotype" w:eastAsia="Calibri" w:hAnsi="Palatino Linotype" w:cs="Calibri"/>
                <w:sz w:val="20"/>
                <w:szCs w:val="20"/>
                <w:lang w:eastAsia="it-IT"/>
              </w:rPr>
              <w:t>202</w:t>
            </w:r>
            <w:r>
              <w:rPr>
                <w:rFonts w:ascii="Palatino Linotype" w:eastAsia="Calibri" w:hAnsi="Palatino Linotype" w:cs="Calibri"/>
                <w:sz w:val="20"/>
                <w:szCs w:val="20"/>
                <w:lang w:eastAsia="it-IT"/>
              </w:rPr>
              <w:t>6</w:t>
            </w:r>
          </w:p>
        </w:tc>
        <w:tc>
          <w:tcPr>
            <w:tcW w:w="5053" w:type="dxa"/>
            <w:tcBorders>
              <w:top w:val="single" w:sz="4" w:space="0" w:color="auto"/>
              <w:left w:val="single" w:sz="4" w:space="0" w:color="auto"/>
              <w:bottom w:val="single" w:sz="4" w:space="0" w:color="auto"/>
              <w:right w:val="single" w:sz="4" w:space="0" w:color="auto"/>
            </w:tcBorders>
            <w:hideMark/>
          </w:tcPr>
          <w:p w14:paraId="0B3C2EC3" w14:textId="73C994FE" w:rsidR="00396F9D" w:rsidRPr="002A124D" w:rsidRDefault="000239E4" w:rsidP="00100FEE">
            <w:pPr>
              <w:tabs>
                <w:tab w:val="center" w:pos="7371"/>
              </w:tabs>
              <w:spacing w:after="120" w:line="276" w:lineRule="auto"/>
              <w:jc w:val="center"/>
              <w:rPr>
                <w:rFonts w:ascii="Palatino Linotype" w:eastAsia="Calibri" w:hAnsi="Palatino Linotype" w:cs="Calibri"/>
                <w:sz w:val="20"/>
                <w:szCs w:val="20"/>
                <w:lang w:eastAsia="it-IT"/>
              </w:rPr>
            </w:pPr>
            <w:r>
              <w:rPr>
                <w:rFonts w:ascii="Palatino Linotype" w:eastAsia="Calibri" w:hAnsi="Palatino Linotype" w:cs="Calibri"/>
                <w:sz w:val="20"/>
                <w:szCs w:val="20"/>
                <w:lang w:eastAsia="it-IT"/>
              </w:rPr>
              <w:t>1</w:t>
            </w:r>
          </w:p>
        </w:tc>
      </w:tr>
      <w:tr w:rsidR="00396F9D" w:rsidRPr="002A124D" w14:paraId="56858ED0" w14:textId="77777777" w:rsidTr="00CE31BE">
        <w:tc>
          <w:tcPr>
            <w:tcW w:w="4467" w:type="dxa"/>
            <w:gridSpan w:val="3"/>
            <w:tcBorders>
              <w:top w:val="single" w:sz="4" w:space="0" w:color="auto"/>
              <w:left w:val="single" w:sz="4" w:space="0" w:color="auto"/>
              <w:bottom w:val="single" w:sz="4" w:space="0" w:color="auto"/>
              <w:right w:val="single" w:sz="4" w:space="0" w:color="auto"/>
            </w:tcBorders>
            <w:hideMark/>
          </w:tcPr>
          <w:p w14:paraId="46523AEC" w14:textId="77777777" w:rsidR="00396F9D" w:rsidRPr="002A124D" w:rsidRDefault="00396F9D" w:rsidP="00CB48FD">
            <w:pPr>
              <w:spacing w:after="200" w:line="276" w:lineRule="auto"/>
              <w:jc w:val="right"/>
              <w:rPr>
                <w:rFonts w:ascii="Palatino Linotype" w:eastAsia="Calibri" w:hAnsi="Palatino Linotype" w:cs="Calibri"/>
                <w:sz w:val="20"/>
                <w:szCs w:val="20"/>
                <w:lang w:eastAsia="it-IT"/>
              </w:rPr>
            </w:pPr>
            <w:r w:rsidRPr="002A124D">
              <w:rPr>
                <w:rFonts w:ascii="Palatino Linotype" w:eastAsia="Calibri" w:hAnsi="Palatino Linotype" w:cs="Calibri"/>
                <w:sz w:val="20"/>
                <w:szCs w:val="20"/>
                <w:lang w:eastAsia="it-IT"/>
              </w:rPr>
              <w:t>202</w:t>
            </w:r>
            <w:r>
              <w:rPr>
                <w:rFonts w:ascii="Palatino Linotype" w:eastAsia="Calibri" w:hAnsi="Palatino Linotype" w:cs="Calibri"/>
                <w:sz w:val="20"/>
                <w:szCs w:val="20"/>
                <w:lang w:eastAsia="it-IT"/>
              </w:rPr>
              <w:t>7</w:t>
            </w:r>
          </w:p>
        </w:tc>
        <w:tc>
          <w:tcPr>
            <w:tcW w:w="5053" w:type="dxa"/>
            <w:tcBorders>
              <w:top w:val="single" w:sz="4" w:space="0" w:color="auto"/>
              <w:left w:val="single" w:sz="4" w:space="0" w:color="auto"/>
              <w:bottom w:val="single" w:sz="4" w:space="0" w:color="auto"/>
              <w:right w:val="single" w:sz="4" w:space="0" w:color="auto"/>
            </w:tcBorders>
            <w:hideMark/>
          </w:tcPr>
          <w:p w14:paraId="5BAB526A" w14:textId="77777777" w:rsidR="00396F9D" w:rsidRPr="002A124D" w:rsidRDefault="00396F9D" w:rsidP="00CB48FD">
            <w:pPr>
              <w:spacing w:after="200" w:line="276" w:lineRule="auto"/>
              <w:jc w:val="center"/>
              <w:rPr>
                <w:rFonts w:ascii="Palatino Linotype" w:eastAsia="Calibri" w:hAnsi="Palatino Linotype" w:cs="Calibri"/>
                <w:sz w:val="20"/>
                <w:szCs w:val="20"/>
                <w:lang w:eastAsia="it-IT"/>
              </w:rPr>
            </w:pPr>
            <w:r w:rsidRPr="002A124D">
              <w:rPr>
                <w:rFonts w:ascii="Palatino Linotype" w:eastAsia="Calibri" w:hAnsi="Palatino Linotype" w:cs="Calibri"/>
                <w:sz w:val="20"/>
                <w:szCs w:val="20"/>
                <w:lang w:eastAsia="it-IT"/>
              </w:rPr>
              <w:t>0</w:t>
            </w:r>
          </w:p>
        </w:tc>
      </w:tr>
      <w:tr w:rsidR="00396F9D" w:rsidRPr="002A124D" w14:paraId="33C8CA41" w14:textId="77777777" w:rsidTr="00CE31BE">
        <w:tc>
          <w:tcPr>
            <w:tcW w:w="4467" w:type="dxa"/>
            <w:gridSpan w:val="3"/>
            <w:tcBorders>
              <w:top w:val="single" w:sz="4" w:space="0" w:color="auto"/>
              <w:left w:val="single" w:sz="4" w:space="0" w:color="auto"/>
              <w:bottom w:val="single" w:sz="4" w:space="0" w:color="auto"/>
              <w:right w:val="single" w:sz="4" w:space="0" w:color="auto"/>
            </w:tcBorders>
            <w:hideMark/>
          </w:tcPr>
          <w:p w14:paraId="5CC4A763" w14:textId="77777777" w:rsidR="00396F9D" w:rsidRPr="002A124D" w:rsidRDefault="00396F9D" w:rsidP="00CB48FD">
            <w:pPr>
              <w:spacing w:after="200" w:line="276" w:lineRule="auto"/>
              <w:jc w:val="right"/>
              <w:rPr>
                <w:rFonts w:ascii="Palatino Linotype" w:eastAsia="Calibri" w:hAnsi="Palatino Linotype" w:cs="Calibri"/>
                <w:sz w:val="20"/>
                <w:szCs w:val="20"/>
                <w:lang w:eastAsia="it-IT"/>
              </w:rPr>
            </w:pPr>
            <w:r w:rsidRPr="002A124D">
              <w:rPr>
                <w:rFonts w:ascii="Palatino Linotype" w:eastAsia="Calibri" w:hAnsi="Palatino Linotype" w:cs="Calibri"/>
                <w:sz w:val="20"/>
                <w:szCs w:val="20"/>
                <w:lang w:eastAsia="it-IT"/>
              </w:rPr>
              <w:t>202</w:t>
            </w:r>
            <w:r>
              <w:rPr>
                <w:rFonts w:ascii="Palatino Linotype" w:eastAsia="Calibri" w:hAnsi="Palatino Linotype" w:cs="Calibri"/>
                <w:sz w:val="20"/>
                <w:szCs w:val="20"/>
                <w:lang w:eastAsia="it-IT"/>
              </w:rPr>
              <w:t>8</w:t>
            </w:r>
          </w:p>
        </w:tc>
        <w:tc>
          <w:tcPr>
            <w:tcW w:w="5053" w:type="dxa"/>
            <w:tcBorders>
              <w:top w:val="single" w:sz="4" w:space="0" w:color="auto"/>
              <w:left w:val="single" w:sz="4" w:space="0" w:color="auto"/>
              <w:bottom w:val="single" w:sz="4" w:space="0" w:color="auto"/>
              <w:right w:val="single" w:sz="4" w:space="0" w:color="auto"/>
            </w:tcBorders>
            <w:hideMark/>
          </w:tcPr>
          <w:p w14:paraId="7F567B65" w14:textId="77777777" w:rsidR="00396F9D" w:rsidRPr="002A124D" w:rsidRDefault="00396F9D" w:rsidP="00CB48FD">
            <w:pPr>
              <w:spacing w:after="200" w:line="276" w:lineRule="auto"/>
              <w:jc w:val="center"/>
              <w:rPr>
                <w:rFonts w:ascii="Palatino Linotype" w:eastAsia="Calibri" w:hAnsi="Palatino Linotype" w:cs="Calibri"/>
                <w:sz w:val="20"/>
                <w:szCs w:val="20"/>
                <w:lang w:eastAsia="it-IT"/>
              </w:rPr>
            </w:pPr>
            <w:r w:rsidRPr="002A124D">
              <w:rPr>
                <w:rFonts w:ascii="Palatino Linotype" w:eastAsia="Calibri" w:hAnsi="Palatino Linotype" w:cs="Calibri"/>
                <w:sz w:val="20"/>
                <w:szCs w:val="20"/>
                <w:lang w:eastAsia="it-IT"/>
              </w:rPr>
              <w:t>0</w:t>
            </w:r>
          </w:p>
        </w:tc>
      </w:tr>
      <w:tr w:rsidR="00396F9D" w:rsidRPr="002A124D" w14:paraId="3A114E39" w14:textId="77777777" w:rsidTr="00CE31BE">
        <w:tc>
          <w:tcPr>
            <w:tcW w:w="4093" w:type="dxa"/>
            <w:tcBorders>
              <w:top w:val="single" w:sz="4" w:space="0" w:color="auto"/>
              <w:left w:val="single" w:sz="4" w:space="0" w:color="auto"/>
              <w:bottom w:val="single" w:sz="4" w:space="0" w:color="auto"/>
              <w:right w:val="single" w:sz="4" w:space="0" w:color="auto"/>
            </w:tcBorders>
            <w:hideMark/>
          </w:tcPr>
          <w:p w14:paraId="644719B2" w14:textId="77777777" w:rsidR="00396F9D" w:rsidRPr="002A124D" w:rsidRDefault="00396F9D" w:rsidP="00CB48FD">
            <w:pPr>
              <w:spacing w:after="200" w:line="276" w:lineRule="auto"/>
              <w:rPr>
                <w:rFonts w:ascii="Palatino Linotype" w:eastAsia="Calibri" w:hAnsi="Palatino Linotype" w:cs="Calibri"/>
                <w:sz w:val="20"/>
                <w:szCs w:val="20"/>
                <w:lang w:eastAsia="it-IT"/>
              </w:rPr>
            </w:pPr>
            <w:r w:rsidRPr="002A124D">
              <w:rPr>
                <w:rFonts w:ascii="Palatino Linotype" w:eastAsia="Calibri" w:hAnsi="Palatino Linotype" w:cs="Calibri"/>
                <w:sz w:val="20"/>
                <w:szCs w:val="20"/>
                <w:lang w:eastAsia="it-IT"/>
              </w:rPr>
              <w:t>Priorità strategiche</w:t>
            </w:r>
          </w:p>
        </w:tc>
        <w:tc>
          <w:tcPr>
            <w:tcW w:w="5427" w:type="dxa"/>
            <w:gridSpan w:val="3"/>
            <w:tcBorders>
              <w:top w:val="single" w:sz="4" w:space="0" w:color="auto"/>
              <w:left w:val="single" w:sz="4" w:space="0" w:color="auto"/>
              <w:bottom w:val="single" w:sz="4" w:space="0" w:color="auto"/>
              <w:right w:val="single" w:sz="4" w:space="0" w:color="auto"/>
            </w:tcBorders>
            <w:hideMark/>
          </w:tcPr>
          <w:p w14:paraId="16B1B249" w14:textId="77777777" w:rsidR="00396F9D" w:rsidRPr="002A124D" w:rsidRDefault="00396F9D" w:rsidP="00CB48FD">
            <w:pPr>
              <w:spacing w:after="200" w:line="276" w:lineRule="auto"/>
              <w:jc w:val="both"/>
              <w:rPr>
                <w:rFonts w:ascii="Palatino Linotype" w:eastAsia="Calibri" w:hAnsi="Palatino Linotype" w:cs="Calibri"/>
                <w:sz w:val="20"/>
                <w:szCs w:val="20"/>
                <w:lang w:eastAsia="it-IT"/>
              </w:rPr>
            </w:pPr>
            <w:r w:rsidRPr="002A124D">
              <w:rPr>
                <w:rFonts w:ascii="Palatino Linotype" w:eastAsia="Calibri" w:hAnsi="Palatino Linotype" w:cs="Calibri"/>
                <w:sz w:val="20"/>
                <w:szCs w:val="20"/>
                <w:lang w:eastAsia="it-IT"/>
              </w:rPr>
              <w:t>Riqualificazione o potenziamento delle competenze tecniche e trasversali, per livello organizzativo e per filiera professionale.</w:t>
            </w:r>
          </w:p>
        </w:tc>
      </w:tr>
      <w:tr w:rsidR="00396F9D" w:rsidRPr="002A124D" w14:paraId="3A191AFD" w14:textId="77777777" w:rsidTr="00CE31BE">
        <w:tc>
          <w:tcPr>
            <w:tcW w:w="4093" w:type="dxa"/>
            <w:tcBorders>
              <w:top w:val="single" w:sz="4" w:space="0" w:color="auto"/>
              <w:left w:val="single" w:sz="4" w:space="0" w:color="auto"/>
              <w:bottom w:val="single" w:sz="4" w:space="0" w:color="auto"/>
              <w:right w:val="single" w:sz="4" w:space="0" w:color="auto"/>
            </w:tcBorders>
            <w:hideMark/>
          </w:tcPr>
          <w:p w14:paraId="44F2A0EC" w14:textId="77777777" w:rsidR="00396F9D" w:rsidRPr="002A124D" w:rsidRDefault="00396F9D" w:rsidP="00CB48FD">
            <w:pPr>
              <w:spacing w:after="200" w:line="276" w:lineRule="auto"/>
              <w:rPr>
                <w:rFonts w:ascii="Palatino Linotype" w:eastAsia="Calibri" w:hAnsi="Palatino Linotype" w:cs="Calibri"/>
                <w:sz w:val="20"/>
                <w:szCs w:val="20"/>
                <w:lang w:eastAsia="it-IT"/>
              </w:rPr>
            </w:pPr>
            <w:r w:rsidRPr="002A124D">
              <w:rPr>
                <w:rFonts w:ascii="Palatino Linotype" w:eastAsia="Calibri" w:hAnsi="Palatino Linotype" w:cs="Calibri"/>
                <w:sz w:val="20"/>
                <w:szCs w:val="20"/>
                <w:lang w:eastAsia="it-IT"/>
              </w:rPr>
              <w:t>Incentivi alla formazione</w:t>
            </w:r>
          </w:p>
        </w:tc>
        <w:tc>
          <w:tcPr>
            <w:tcW w:w="5427" w:type="dxa"/>
            <w:gridSpan w:val="3"/>
            <w:tcBorders>
              <w:top w:val="single" w:sz="4" w:space="0" w:color="auto"/>
              <w:left w:val="single" w:sz="4" w:space="0" w:color="auto"/>
              <w:bottom w:val="single" w:sz="4" w:space="0" w:color="auto"/>
              <w:right w:val="single" w:sz="4" w:space="0" w:color="auto"/>
            </w:tcBorders>
            <w:hideMark/>
          </w:tcPr>
          <w:p w14:paraId="2B144AC3" w14:textId="77777777" w:rsidR="00396F9D" w:rsidRPr="002A124D" w:rsidRDefault="00396F9D" w:rsidP="00CB48FD">
            <w:pPr>
              <w:spacing w:after="200" w:line="276" w:lineRule="auto"/>
              <w:jc w:val="both"/>
              <w:rPr>
                <w:rFonts w:ascii="Palatino Linotype" w:eastAsia="Calibri" w:hAnsi="Palatino Linotype" w:cs="Calibri"/>
                <w:sz w:val="20"/>
                <w:szCs w:val="20"/>
                <w:lang w:eastAsia="it-IT"/>
              </w:rPr>
            </w:pPr>
            <w:r w:rsidRPr="002A124D">
              <w:rPr>
                <w:rFonts w:ascii="Palatino Linotype" w:eastAsia="Calibri" w:hAnsi="Palatino Linotype" w:cs="Calibri"/>
                <w:sz w:val="20"/>
                <w:szCs w:val="20"/>
                <w:lang w:eastAsia="it-IT"/>
              </w:rPr>
              <w:t>Favorire l’accesso a percorsi di istruzione e qualificazione</w:t>
            </w:r>
          </w:p>
          <w:p w14:paraId="4484EA30" w14:textId="77777777" w:rsidR="00396F9D" w:rsidRPr="002A124D" w:rsidRDefault="00396F9D" w:rsidP="00CB48FD">
            <w:pPr>
              <w:spacing w:after="200" w:line="276" w:lineRule="auto"/>
              <w:jc w:val="both"/>
              <w:rPr>
                <w:rFonts w:ascii="Palatino Linotype" w:eastAsia="Calibri" w:hAnsi="Palatino Linotype" w:cs="Calibri"/>
                <w:sz w:val="20"/>
                <w:szCs w:val="20"/>
                <w:lang w:eastAsia="it-IT"/>
              </w:rPr>
            </w:pPr>
            <w:r w:rsidRPr="002A124D">
              <w:rPr>
                <w:rFonts w:ascii="Palatino Linotype" w:eastAsia="Calibri" w:hAnsi="Palatino Linotype" w:cs="Calibri"/>
                <w:sz w:val="20"/>
                <w:szCs w:val="20"/>
                <w:lang w:eastAsia="it-IT"/>
              </w:rPr>
              <w:t>del personale laureato e non laureato (ad es. politiche di permessi per il diritto allo studio e di conciliazione).</w:t>
            </w:r>
          </w:p>
        </w:tc>
      </w:tr>
      <w:tr w:rsidR="00396F9D" w:rsidRPr="002A124D" w14:paraId="2C1C4B18" w14:textId="77777777" w:rsidTr="00CE31BE">
        <w:tc>
          <w:tcPr>
            <w:tcW w:w="4093" w:type="dxa"/>
            <w:tcBorders>
              <w:top w:val="single" w:sz="4" w:space="0" w:color="auto"/>
              <w:left w:val="single" w:sz="4" w:space="0" w:color="auto"/>
              <w:bottom w:val="single" w:sz="4" w:space="0" w:color="auto"/>
              <w:right w:val="single" w:sz="4" w:space="0" w:color="auto"/>
            </w:tcBorders>
            <w:hideMark/>
          </w:tcPr>
          <w:p w14:paraId="702D36CC" w14:textId="77777777" w:rsidR="00396F9D" w:rsidRPr="002A124D" w:rsidRDefault="00396F9D" w:rsidP="00CB48FD">
            <w:pPr>
              <w:spacing w:after="200" w:line="276" w:lineRule="auto"/>
              <w:rPr>
                <w:rFonts w:ascii="Palatino Linotype" w:eastAsia="Calibri" w:hAnsi="Palatino Linotype" w:cs="Calibri"/>
                <w:sz w:val="20"/>
                <w:szCs w:val="20"/>
                <w:lang w:eastAsia="it-IT"/>
              </w:rPr>
            </w:pPr>
            <w:r w:rsidRPr="002A124D">
              <w:rPr>
                <w:rFonts w:ascii="Palatino Linotype" w:eastAsia="Calibri" w:hAnsi="Palatino Linotype" w:cs="Calibri"/>
                <w:sz w:val="20"/>
                <w:szCs w:val="20"/>
                <w:lang w:eastAsia="it-IT"/>
              </w:rPr>
              <w:t>Obiettivi e risultati attesi</w:t>
            </w:r>
          </w:p>
        </w:tc>
        <w:tc>
          <w:tcPr>
            <w:tcW w:w="5427" w:type="dxa"/>
            <w:gridSpan w:val="3"/>
            <w:tcBorders>
              <w:top w:val="single" w:sz="4" w:space="0" w:color="auto"/>
              <w:left w:val="single" w:sz="4" w:space="0" w:color="auto"/>
              <w:bottom w:val="single" w:sz="4" w:space="0" w:color="auto"/>
              <w:right w:val="single" w:sz="4" w:space="0" w:color="auto"/>
            </w:tcBorders>
            <w:hideMark/>
          </w:tcPr>
          <w:p w14:paraId="119C169D" w14:textId="77777777" w:rsidR="00396F9D" w:rsidRPr="002A124D" w:rsidRDefault="00396F9D" w:rsidP="00CB48FD">
            <w:pPr>
              <w:spacing w:after="200" w:line="276" w:lineRule="auto"/>
              <w:jc w:val="both"/>
              <w:rPr>
                <w:rFonts w:ascii="Palatino Linotype" w:eastAsia="Calibri" w:hAnsi="Palatino Linotype" w:cs="Calibri"/>
                <w:sz w:val="20"/>
                <w:szCs w:val="20"/>
                <w:lang w:eastAsia="it-IT"/>
              </w:rPr>
            </w:pPr>
            <w:r w:rsidRPr="002A124D">
              <w:rPr>
                <w:rFonts w:ascii="Palatino Linotype" w:eastAsia="Calibri" w:hAnsi="Palatino Linotype" w:cs="Calibri"/>
                <w:sz w:val="20"/>
                <w:szCs w:val="20"/>
                <w:lang w:eastAsia="it-IT"/>
              </w:rPr>
              <w:t xml:space="preserve">Miglioramento del livello qualitativo, quantitativo e in termini temporali, anche con riferimento al collegamento </w:t>
            </w:r>
            <w:r w:rsidRPr="002A124D">
              <w:rPr>
                <w:rFonts w:ascii="Palatino Linotype" w:eastAsia="Calibri" w:hAnsi="Palatino Linotype" w:cs="Calibri"/>
                <w:sz w:val="20"/>
                <w:szCs w:val="20"/>
                <w:lang w:eastAsia="it-IT"/>
              </w:rPr>
              <w:lastRenderedPageBreak/>
              <w:t>con la valutazione individuale, intesa come strumento di sviluppo.</w:t>
            </w:r>
          </w:p>
        </w:tc>
      </w:tr>
    </w:tbl>
    <w:p w14:paraId="3B7FB977" w14:textId="77777777" w:rsidR="00CE31BE" w:rsidRDefault="00CE31BE" w:rsidP="00396F9D">
      <w:pPr>
        <w:spacing w:after="200" w:line="276" w:lineRule="auto"/>
        <w:jc w:val="both"/>
        <w:rPr>
          <w:rFonts w:ascii="Palatino Linotype" w:eastAsia="Calibri" w:hAnsi="Palatino Linotype" w:cs="Calibri"/>
          <w:b/>
          <w:bCs/>
        </w:rPr>
      </w:pPr>
    </w:p>
    <w:p w14:paraId="3E4F9779" w14:textId="2DFACD71" w:rsidR="00396F9D" w:rsidRPr="002A124D" w:rsidRDefault="00396F9D" w:rsidP="00396F9D">
      <w:pPr>
        <w:spacing w:after="200" w:line="276" w:lineRule="auto"/>
        <w:jc w:val="both"/>
        <w:rPr>
          <w:rFonts w:ascii="Palatino Linotype" w:eastAsia="Calibri" w:hAnsi="Palatino Linotype" w:cs="Calibri"/>
          <w:b/>
          <w:bCs/>
        </w:rPr>
      </w:pPr>
      <w:r w:rsidRPr="002A124D">
        <w:rPr>
          <w:rFonts w:ascii="Palatino Linotype" w:eastAsia="Calibri" w:hAnsi="Palatino Linotype" w:cs="Calibri"/>
          <w:b/>
          <w:bCs/>
        </w:rPr>
        <w:t>LIMITE DI SPESA CON PARTICOLARE RIFERIMENTO ALL’ASSUNZIONE PREVISTA NELL’ANNO 202</w:t>
      </w:r>
      <w:r>
        <w:rPr>
          <w:rFonts w:ascii="Palatino Linotype" w:eastAsia="Calibri" w:hAnsi="Palatino Linotype" w:cs="Calibri"/>
          <w:b/>
          <w:bCs/>
        </w:rPr>
        <w:t>6</w:t>
      </w:r>
      <w:r w:rsidRPr="002A124D">
        <w:rPr>
          <w:rFonts w:ascii="Palatino Linotype" w:eastAsia="Calibri" w:hAnsi="Palatino Linotype" w:cs="Calibri"/>
          <w:b/>
          <w:bCs/>
        </w:rPr>
        <w:t>-202</w:t>
      </w:r>
      <w:r>
        <w:rPr>
          <w:rFonts w:ascii="Palatino Linotype" w:eastAsia="Calibri" w:hAnsi="Palatino Linotype" w:cs="Calibri"/>
          <w:b/>
          <w:bCs/>
        </w:rPr>
        <w:t>8</w:t>
      </w:r>
      <w:r w:rsidRPr="002A124D">
        <w:rPr>
          <w:rFonts w:ascii="Palatino Linotype" w:eastAsia="Calibri" w:hAnsi="Palatino Linotype" w:cs="Calibri"/>
          <w:b/>
          <w:bCs/>
        </w:rPr>
        <w:t>:</w:t>
      </w:r>
    </w:p>
    <w:p w14:paraId="3C174B14" w14:textId="0E4F35E6" w:rsidR="00396F9D" w:rsidRDefault="000368CC" w:rsidP="00396F9D">
      <w:pPr>
        <w:spacing w:after="200" w:line="276" w:lineRule="auto"/>
        <w:jc w:val="both"/>
        <w:rPr>
          <w:rFonts w:ascii="Palatino Linotype" w:eastAsia="Calibri" w:hAnsi="Palatino Linotype" w:cs="Calibri"/>
          <w:b/>
          <w:bCs/>
        </w:rPr>
      </w:pPr>
      <w:r w:rsidRPr="000368CC">
        <w:drawing>
          <wp:inline distT="0" distB="0" distL="0" distR="0" wp14:anchorId="0139EC17" wp14:editId="4CE9FF1E">
            <wp:extent cx="7486220" cy="6310630"/>
            <wp:effectExtent l="0" t="2857" r="0" b="0"/>
            <wp:docPr id="56135647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rot="5400000">
                      <a:off x="0" y="0"/>
                      <a:ext cx="7494466" cy="6317581"/>
                    </a:xfrm>
                    <a:prstGeom prst="rect">
                      <a:avLst/>
                    </a:prstGeom>
                    <a:noFill/>
                    <a:ln>
                      <a:noFill/>
                    </a:ln>
                  </pic:spPr>
                </pic:pic>
              </a:graphicData>
            </a:graphic>
          </wp:inline>
        </w:drawing>
      </w:r>
    </w:p>
    <w:p w14:paraId="1B2BB38E" w14:textId="1EE2CF61" w:rsidR="00CE31BE" w:rsidRPr="00CE31BE" w:rsidRDefault="00CE31BE" w:rsidP="00CE31BE">
      <w:pPr>
        <w:spacing w:after="200" w:line="276" w:lineRule="auto"/>
        <w:jc w:val="both"/>
        <w:rPr>
          <w:rFonts w:ascii="Palatino Linotype" w:eastAsia="Calibri" w:hAnsi="Palatino Linotype" w:cs="Calibri"/>
          <w:b/>
          <w:bCs/>
        </w:rPr>
      </w:pPr>
      <w:r w:rsidRPr="00CE31BE">
        <w:rPr>
          <w:rFonts w:ascii="Palatino Linotype" w:eastAsia="Calibri" w:hAnsi="Palatino Linotype" w:cs="Calibri"/>
          <w:b/>
          <w:bCs/>
        </w:rPr>
        <w:lastRenderedPageBreak/>
        <w:t>3.3.</w:t>
      </w:r>
      <w:r>
        <w:rPr>
          <w:rFonts w:ascii="Palatino Linotype" w:eastAsia="Calibri" w:hAnsi="Palatino Linotype" w:cs="Calibri"/>
          <w:b/>
          <w:bCs/>
        </w:rPr>
        <w:t>6</w:t>
      </w:r>
      <w:r w:rsidRPr="00CE31BE">
        <w:rPr>
          <w:rFonts w:ascii="Palatino Linotype" w:eastAsia="Calibri" w:hAnsi="Palatino Linotype" w:cs="Calibri"/>
          <w:b/>
          <w:bCs/>
        </w:rPr>
        <w:t xml:space="preserve"> Formazione del personale</w:t>
      </w:r>
    </w:p>
    <w:p w14:paraId="76940BB9"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Premessa</w:t>
      </w:r>
    </w:p>
    <w:p w14:paraId="2892C0CE"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Questa sottosezione sviluppa le seguenti attività riguardanti la formazione del personale:</w:t>
      </w:r>
    </w:p>
    <w:p w14:paraId="65550FF0" w14:textId="24A2BCB9"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w:t>
      </w:r>
      <w:r w:rsidRPr="00CE31BE">
        <w:rPr>
          <w:rFonts w:ascii="Palatino Linotype" w:eastAsia="Calibri" w:hAnsi="Palatino Linotype" w:cs="Calibri"/>
        </w:rPr>
        <w:tab/>
        <w:t>le priorità strategiche in termini di riqualificazione o potenziamento delle competenze</w:t>
      </w:r>
      <w:r>
        <w:rPr>
          <w:rFonts w:ascii="Palatino Linotype" w:eastAsia="Calibri" w:hAnsi="Palatino Linotype" w:cs="Calibri"/>
        </w:rPr>
        <w:t xml:space="preserve"> </w:t>
      </w:r>
      <w:r w:rsidRPr="00CE31BE">
        <w:rPr>
          <w:rFonts w:ascii="Palatino Linotype" w:eastAsia="Calibri" w:hAnsi="Palatino Linotype" w:cs="Calibri"/>
        </w:rPr>
        <w:t>tecniche e trasversali, organizzate per livello organizzativo e per filiera professionale;</w:t>
      </w:r>
    </w:p>
    <w:p w14:paraId="0B515E41"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 le risorse interne ed esterne disponibili e/o ‘attivabili’ ai fini delle strategie formative;</w:t>
      </w:r>
    </w:p>
    <w:p w14:paraId="7403AEB4" w14:textId="37FF10A4"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 le misure volte ad incentivare e favorire l’accesso a percorsi di istruzione e qualificazione</w:t>
      </w:r>
      <w:r>
        <w:rPr>
          <w:rFonts w:ascii="Palatino Linotype" w:eastAsia="Calibri" w:hAnsi="Palatino Linotype" w:cs="Calibri"/>
        </w:rPr>
        <w:t xml:space="preserve"> </w:t>
      </w:r>
      <w:r w:rsidRPr="00CE31BE">
        <w:rPr>
          <w:rFonts w:ascii="Palatino Linotype" w:eastAsia="Calibri" w:hAnsi="Palatino Linotype" w:cs="Calibri"/>
        </w:rPr>
        <w:t>del personale laureato e non laureato (es. politiche di permessi per il diritto allo studio e</w:t>
      </w:r>
      <w:r>
        <w:rPr>
          <w:rFonts w:ascii="Palatino Linotype" w:eastAsia="Calibri" w:hAnsi="Palatino Linotype" w:cs="Calibri"/>
        </w:rPr>
        <w:t xml:space="preserve"> </w:t>
      </w:r>
      <w:r w:rsidRPr="00CE31BE">
        <w:rPr>
          <w:rFonts w:ascii="Palatino Linotype" w:eastAsia="Calibri" w:hAnsi="Palatino Linotype" w:cs="Calibri"/>
        </w:rPr>
        <w:t>di conciliazione);</w:t>
      </w:r>
    </w:p>
    <w:p w14:paraId="4C521C90"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 gli obiettivi e i risultati attesi (a livello qualitativo, quantitativo e in termini temporali)</w:t>
      </w:r>
    </w:p>
    <w:p w14:paraId="5298294B" w14:textId="051E8CD1" w:rsid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della formazione in termini di riqualificazione e potenziamento delle competenze e del livello di istruzione e specializzazione dei dipendenti, anche con riferimento al collegamento con la valutazione individuale, inteso come strumento di sviluppo.</w:t>
      </w:r>
    </w:p>
    <w:p w14:paraId="294AA90A" w14:textId="4F91ED3B" w:rsid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RISORSE INTERNE DISPONIBILI:</w:t>
      </w:r>
      <w:r>
        <w:rPr>
          <w:rFonts w:ascii="Palatino Linotype" w:eastAsia="Calibri" w:hAnsi="Palatino Linotype" w:cs="Calibri"/>
        </w:rPr>
        <w:t xml:space="preserve"> </w:t>
      </w:r>
    </w:p>
    <w:p w14:paraId="35C74EB4" w14:textId="7EC7C667" w:rsidR="00CE31BE" w:rsidRDefault="00CE31BE" w:rsidP="00CE31BE">
      <w:pPr>
        <w:pStyle w:val="Paragrafoelenco"/>
        <w:numPr>
          <w:ilvl w:val="0"/>
          <w:numId w:val="1"/>
        </w:numPr>
        <w:spacing w:after="200" w:line="276" w:lineRule="auto"/>
        <w:jc w:val="both"/>
        <w:rPr>
          <w:rFonts w:ascii="Palatino Linotype" w:eastAsia="Calibri" w:hAnsi="Palatino Linotype" w:cs="Calibri"/>
        </w:rPr>
      </w:pPr>
      <w:r w:rsidRPr="00CE31BE">
        <w:rPr>
          <w:rFonts w:ascii="Palatino Linotype" w:eastAsia="Calibri" w:hAnsi="Palatino Linotype" w:cs="Calibri"/>
        </w:rPr>
        <w:t>Segretario Comunale</w:t>
      </w:r>
      <w:r>
        <w:rPr>
          <w:rFonts w:ascii="Palatino Linotype" w:eastAsia="Calibri" w:hAnsi="Palatino Linotype" w:cs="Calibri"/>
        </w:rPr>
        <w:t>;</w:t>
      </w:r>
    </w:p>
    <w:p w14:paraId="21430856" w14:textId="2E2D5F54" w:rsidR="00CE31BE" w:rsidRPr="00CE31BE" w:rsidRDefault="00CE31BE" w:rsidP="00CE31BE">
      <w:pPr>
        <w:pStyle w:val="Paragrafoelenco"/>
        <w:numPr>
          <w:ilvl w:val="0"/>
          <w:numId w:val="1"/>
        </w:numPr>
        <w:spacing w:after="200" w:line="276" w:lineRule="auto"/>
        <w:jc w:val="both"/>
        <w:rPr>
          <w:rFonts w:ascii="Palatino Linotype" w:eastAsia="Calibri" w:hAnsi="Palatino Linotype" w:cs="Calibri"/>
        </w:rPr>
      </w:pPr>
      <w:r w:rsidRPr="00CE31BE">
        <w:rPr>
          <w:rFonts w:ascii="Palatino Linotype" w:eastAsia="Calibri" w:hAnsi="Palatino Linotype" w:cs="Calibri"/>
        </w:rPr>
        <w:t>Responsabili di Servizio.</w:t>
      </w:r>
    </w:p>
    <w:p w14:paraId="23A3816B" w14:textId="77777777" w:rsidR="00CE31BE" w:rsidRPr="00CE31BE" w:rsidRDefault="00CE31BE" w:rsidP="00CE31BE">
      <w:pPr>
        <w:spacing w:after="200" w:line="276" w:lineRule="auto"/>
        <w:jc w:val="both"/>
        <w:rPr>
          <w:rFonts w:ascii="Palatino Linotype" w:eastAsia="Calibri" w:hAnsi="Palatino Linotype" w:cs="Calibri"/>
        </w:rPr>
      </w:pPr>
      <w:r w:rsidRPr="00CE31BE">
        <w:rPr>
          <w:rFonts w:ascii="Palatino Linotype" w:eastAsia="Calibri" w:hAnsi="Palatino Linotype" w:cs="Calibri"/>
        </w:rPr>
        <w:t>RISORSE ESTERNE DISPONIBILI:</w:t>
      </w:r>
    </w:p>
    <w:p w14:paraId="52A8A5DC" w14:textId="3A961287" w:rsidR="00CE31BE" w:rsidRDefault="00CE31BE" w:rsidP="00CE31BE">
      <w:pPr>
        <w:pStyle w:val="Paragrafoelenco"/>
        <w:numPr>
          <w:ilvl w:val="0"/>
          <w:numId w:val="1"/>
        </w:numPr>
        <w:spacing w:after="200" w:line="276" w:lineRule="auto"/>
        <w:jc w:val="both"/>
        <w:rPr>
          <w:rFonts w:ascii="Palatino Linotype" w:eastAsia="Calibri" w:hAnsi="Palatino Linotype" w:cs="Calibri"/>
        </w:rPr>
      </w:pPr>
      <w:r>
        <w:rPr>
          <w:rFonts w:ascii="Palatino Linotype" w:eastAsia="Calibri" w:hAnsi="Palatino Linotype" w:cs="Calibri"/>
        </w:rPr>
        <w:t>Portale Syllabus;</w:t>
      </w:r>
    </w:p>
    <w:p w14:paraId="7438CDFA" w14:textId="54C620C8" w:rsidR="00CE31BE" w:rsidRPr="00CE31BE" w:rsidRDefault="00CE31BE" w:rsidP="00CE31BE">
      <w:pPr>
        <w:pStyle w:val="Paragrafoelenco"/>
        <w:numPr>
          <w:ilvl w:val="0"/>
          <w:numId w:val="1"/>
        </w:numPr>
        <w:spacing w:after="200" w:line="276" w:lineRule="auto"/>
        <w:jc w:val="both"/>
        <w:rPr>
          <w:rFonts w:ascii="Palatino Linotype" w:eastAsia="Calibri" w:hAnsi="Palatino Linotype" w:cs="Calibri"/>
        </w:rPr>
      </w:pPr>
      <w:r w:rsidRPr="00CE31BE">
        <w:rPr>
          <w:rFonts w:ascii="Palatino Linotype" w:eastAsia="Calibri" w:hAnsi="Palatino Linotype" w:cs="Calibri"/>
        </w:rPr>
        <w:t>Lega dei Comuni (corsi in presenza e formazione online attraverso la piattaforma dedicata)</w:t>
      </w:r>
    </w:p>
    <w:sectPr w:rsidR="00CE31BE" w:rsidRPr="00CE31B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47"/>
    <w:multiLevelType w:val="hybridMultilevel"/>
    <w:tmpl w:val="1EBA5D22"/>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num w:numId="1" w16cid:durableId="13699099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6F9D"/>
    <w:rsid w:val="000239E4"/>
    <w:rsid w:val="000368CC"/>
    <w:rsid w:val="00100FEE"/>
    <w:rsid w:val="001235DA"/>
    <w:rsid w:val="002537ED"/>
    <w:rsid w:val="00396F9D"/>
    <w:rsid w:val="00484F8F"/>
    <w:rsid w:val="004A0C35"/>
    <w:rsid w:val="005D64C3"/>
    <w:rsid w:val="00733296"/>
    <w:rsid w:val="008823C6"/>
    <w:rsid w:val="00A85BC0"/>
    <w:rsid w:val="00BD0FF4"/>
    <w:rsid w:val="00CE31BE"/>
    <w:rsid w:val="00CE42E3"/>
    <w:rsid w:val="00DA39D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E38759"/>
  <w15:chartTrackingRefBased/>
  <w15:docId w15:val="{B507A7E4-31A8-493C-8A8B-A1EA359FE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96F9D"/>
    <w:pPr>
      <w:spacing w:line="259" w:lineRule="auto"/>
    </w:pPr>
    <w:rPr>
      <w:kern w:val="0"/>
      <w:sz w:val="22"/>
      <w:szCs w:val="22"/>
      <w14:ligatures w14:val="none"/>
    </w:rPr>
  </w:style>
  <w:style w:type="paragraph" w:styleId="Titolo1">
    <w:name w:val="heading 1"/>
    <w:basedOn w:val="Normale"/>
    <w:next w:val="Normale"/>
    <w:link w:val="Titolo1Carattere"/>
    <w:uiPriority w:val="9"/>
    <w:qFormat/>
    <w:rsid w:val="00396F9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396F9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396F9D"/>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396F9D"/>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396F9D"/>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396F9D"/>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96F9D"/>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96F9D"/>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96F9D"/>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96F9D"/>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396F9D"/>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396F9D"/>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396F9D"/>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396F9D"/>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396F9D"/>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396F9D"/>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96F9D"/>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96F9D"/>
    <w:rPr>
      <w:rFonts w:eastAsiaTheme="majorEastAsia" w:cstheme="majorBidi"/>
      <w:color w:val="272727" w:themeColor="text1" w:themeTint="D8"/>
    </w:rPr>
  </w:style>
  <w:style w:type="paragraph" w:styleId="Titolo">
    <w:name w:val="Title"/>
    <w:basedOn w:val="Normale"/>
    <w:next w:val="Normale"/>
    <w:link w:val="TitoloCarattere"/>
    <w:uiPriority w:val="10"/>
    <w:qFormat/>
    <w:rsid w:val="00396F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96F9D"/>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396F9D"/>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396F9D"/>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396F9D"/>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396F9D"/>
    <w:rPr>
      <w:i/>
      <w:iCs/>
      <w:color w:val="404040" w:themeColor="text1" w:themeTint="BF"/>
    </w:rPr>
  </w:style>
  <w:style w:type="paragraph" w:styleId="Paragrafoelenco">
    <w:name w:val="List Paragraph"/>
    <w:basedOn w:val="Normale"/>
    <w:uiPriority w:val="34"/>
    <w:qFormat/>
    <w:rsid w:val="00396F9D"/>
    <w:pPr>
      <w:ind w:left="720"/>
      <w:contextualSpacing/>
    </w:pPr>
  </w:style>
  <w:style w:type="character" w:styleId="Enfasiintensa">
    <w:name w:val="Intense Emphasis"/>
    <w:basedOn w:val="Carpredefinitoparagrafo"/>
    <w:uiPriority w:val="21"/>
    <w:qFormat/>
    <w:rsid w:val="00396F9D"/>
    <w:rPr>
      <w:i/>
      <w:iCs/>
      <w:color w:val="2F5496" w:themeColor="accent1" w:themeShade="BF"/>
    </w:rPr>
  </w:style>
  <w:style w:type="paragraph" w:styleId="Citazioneintensa">
    <w:name w:val="Intense Quote"/>
    <w:basedOn w:val="Normale"/>
    <w:next w:val="Normale"/>
    <w:link w:val="CitazioneintensaCarattere"/>
    <w:uiPriority w:val="30"/>
    <w:qFormat/>
    <w:rsid w:val="00396F9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396F9D"/>
    <w:rPr>
      <w:i/>
      <w:iCs/>
      <w:color w:val="2F5496" w:themeColor="accent1" w:themeShade="BF"/>
    </w:rPr>
  </w:style>
  <w:style w:type="character" w:styleId="Riferimentointenso">
    <w:name w:val="Intense Reference"/>
    <w:basedOn w:val="Carpredefinitoparagrafo"/>
    <w:uiPriority w:val="32"/>
    <w:qFormat/>
    <w:rsid w:val="00396F9D"/>
    <w:rPr>
      <w:b/>
      <w:bCs/>
      <w:smallCaps/>
      <w:color w:val="2F5496" w:themeColor="accent1" w:themeShade="BF"/>
      <w:spacing w:val="5"/>
    </w:rPr>
  </w:style>
  <w:style w:type="paragraph" w:styleId="Corpotesto">
    <w:name w:val="Body Text"/>
    <w:aliases w:val=" Carattere Carattere Carattere Carattere"/>
    <w:basedOn w:val="Normale"/>
    <w:link w:val="CorpotestoCarattere"/>
    <w:semiHidden/>
    <w:rsid w:val="00396F9D"/>
    <w:pPr>
      <w:spacing w:after="0" w:line="240" w:lineRule="auto"/>
    </w:pPr>
    <w:rPr>
      <w:rFonts w:ascii="Arial" w:eastAsia="Times New Roman" w:hAnsi="Arial" w:cs="Times New Roman"/>
      <w:color w:val="000000"/>
      <w:sz w:val="24"/>
      <w:szCs w:val="20"/>
    </w:rPr>
  </w:style>
  <w:style w:type="character" w:customStyle="1" w:styleId="CorpotestoCarattere">
    <w:name w:val="Corpo testo Carattere"/>
    <w:aliases w:val=" Carattere Carattere Carattere Carattere Carattere"/>
    <w:basedOn w:val="Carpredefinitoparagrafo"/>
    <w:link w:val="Corpotesto"/>
    <w:semiHidden/>
    <w:rsid w:val="00396F9D"/>
    <w:rPr>
      <w:rFonts w:ascii="Arial" w:eastAsia="Times New Roman" w:hAnsi="Arial" w:cs="Times New Roman"/>
      <w:color w:val="000000"/>
      <w:kern w:val="0"/>
      <w:szCs w:val="20"/>
      <w14:ligatures w14:val="none"/>
    </w:rPr>
  </w:style>
  <w:style w:type="table" w:styleId="Grigliatabella">
    <w:name w:val="Table Grid"/>
    <w:basedOn w:val="Tabellanormale"/>
    <w:uiPriority w:val="39"/>
    <w:rsid w:val="001235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TotalTime>
  <Pages>14</Pages>
  <Words>3900</Words>
  <Characters>22236</Characters>
  <Application>Microsoft Office Word</Application>
  <DocSecurity>0</DocSecurity>
  <Lines>185</Lines>
  <Paragraphs>52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Ufficio Ragioneria</dc:creator>
  <cp:keywords/>
  <dc:description/>
  <cp:lastModifiedBy>Ufficio Ragioneria</cp:lastModifiedBy>
  <cp:revision>8</cp:revision>
  <dcterms:created xsi:type="dcterms:W3CDTF">2026-02-11T07:37:00Z</dcterms:created>
  <dcterms:modified xsi:type="dcterms:W3CDTF">2026-03-04T08:41:00Z</dcterms:modified>
</cp:coreProperties>
</file>