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64DD" w:rsidRPr="0029310E" w:rsidRDefault="00C064DD" w:rsidP="0010745A">
      <w:pPr>
        <w:autoSpaceDE w:val="0"/>
        <w:autoSpaceDN w:val="0"/>
        <w:adjustRightInd w:val="0"/>
        <w:spacing w:after="0" w:line="240" w:lineRule="auto"/>
        <w:jc w:val="center"/>
        <w:rPr>
          <w:rFonts w:ascii="Times New Roman" w:hAnsi="Times New Roman"/>
          <w:b/>
          <w:sz w:val="24"/>
          <w:szCs w:val="24"/>
        </w:rPr>
      </w:pPr>
      <w:r w:rsidRPr="0029310E">
        <w:rPr>
          <w:rFonts w:ascii="Times New Roman" w:hAnsi="Times New Roman"/>
          <w:b/>
          <w:sz w:val="24"/>
          <w:szCs w:val="24"/>
        </w:rPr>
        <w:t>PIANO TRIENNALE DI PREVENZIONE DELLA CORRUZIONE (P.T.P.C.) 2017- 2019</w:t>
      </w:r>
    </w:p>
    <w:p w:rsidR="00C064DD" w:rsidRPr="0029310E" w:rsidRDefault="00C064DD" w:rsidP="0010745A">
      <w:pPr>
        <w:autoSpaceDE w:val="0"/>
        <w:autoSpaceDN w:val="0"/>
        <w:adjustRightInd w:val="0"/>
        <w:spacing w:after="0" w:line="240" w:lineRule="auto"/>
        <w:jc w:val="center"/>
        <w:rPr>
          <w:rFonts w:ascii="Times New Roman" w:hAnsi="Times New Roman"/>
          <w:color w:val="000000"/>
          <w:sz w:val="24"/>
          <w:szCs w:val="24"/>
        </w:rPr>
      </w:pPr>
      <w:r w:rsidRPr="0029310E">
        <w:rPr>
          <w:rFonts w:ascii="Times New Roman" w:hAnsi="Times New Roman"/>
          <w:color w:val="000000"/>
          <w:sz w:val="24"/>
          <w:szCs w:val="24"/>
        </w:rPr>
        <w:t>Legge 6 novembre 2012, n. 190 Piano Nazionale Anticorruzione (P.N.A.)</w:t>
      </w:r>
    </w:p>
    <w:p w:rsidR="00C064DD" w:rsidRPr="0029310E" w:rsidRDefault="00C064DD" w:rsidP="0010745A">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1. PRINCIPI</w:t>
      </w:r>
    </w:p>
    <w:p w:rsidR="00C064DD" w:rsidRPr="0029310E" w:rsidRDefault="00C064DD" w:rsidP="0010745A">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Il presente Piano triennale di prevenzione della corruzione (PTPC) dà attuazione alle disposizioni di cui alla Legge n. 190 del 6 novembre 2012, nel rispetto delle previsioni delle linee guida contenute nel Piano Nazionale Anticorruzione (PNA) Delibera n. 831 del 3 agosto 2016 “Determinazione di approvazione definitiva del Piano Nazionale Anticorruzione 2016”.</w:t>
      </w:r>
    </w:p>
    <w:p w:rsidR="00C064DD" w:rsidRPr="0029310E" w:rsidRDefault="00C064DD" w:rsidP="0010745A">
      <w:pPr>
        <w:jc w:val="both"/>
        <w:rPr>
          <w:rFonts w:ascii="Times New Roman" w:hAnsi="Times New Roman"/>
          <w:sz w:val="24"/>
          <w:szCs w:val="24"/>
        </w:rPr>
      </w:pPr>
      <w:r w:rsidRPr="0029310E">
        <w:rPr>
          <w:rFonts w:ascii="Times New Roman" w:hAnsi="Times New Roman"/>
          <w:sz w:val="24"/>
          <w:szCs w:val="24"/>
        </w:rPr>
        <w:t xml:space="preserve">Il PNA è in linea con le rilevanti modifiche legislative intervenute recentemente, in molti casi dando attuazione alle nuove discipline della materia, di cui le amministrazioni dovranno tener conto nella fase di attuazione del PNA nei loro Piani triennali di prevenzione della corruzione (di seguito PTPC), in particolare a partire dalla formazione dei PTPC per il triennio 2017-2019. Si fa riferimento, in particolare, al decreto legislativo 25 maggio 2016, n. 97, «Recante revisione e semplificazione delle disposizioni in materia di prevenzione della corruzione, pubblicità e trasparenza, correttivo della legge 6 novembre 2012, n. 190 e del decreto legislativo 14 marzo 2013, n. 33, ai sensi dell’articolo 7 della legge 7 agosto 2015, n. 124, in materia di riorganizzazione delle amministrazioni pubbliche» (di seguito d.lgs. 97/2016) e al decreto legislativo 18 aprile 2016, n. 50 sul Codice dei contratti pubblici. </w:t>
      </w:r>
    </w:p>
    <w:p w:rsidR="00C064DD" w:rsidRPr="0029310E" w:rsidRDefault="00C064DD" w:rsidP="0010745A">
      <w:pPr>
        <w:pStyle w:val="Nessunaspaziatura1"/>
        <w:jc w:val="both"/>
        <w:rPr>
          <w:rFonts w:ascii="Times New Roman" w:hAnsi="Times New Roman"/>
          <w:sz w:val="24"/>
          <w:szCs w:val="24"/>
        </w:rPr>
      </w:pPr>
      <w:r w:rsidRPr="0029310E">
        <w:rPr>
          <w:rFonts w:ascii="Times New Roman" w:hAnsi="Times New Roman"/>
          <w:sz w:val="24"/>
          <w:szCs w:val="24"/>
        </w:rPr>
        <w:t xml:space="preserve">Il PNA ANAC 2016 ha un’impostazione diversa rispetto al precedente del 2013. L’ANAC, infatti, ha ritenuto di approfondire solo “temi specifici senza soffermarsi su tutti quelli già trattati in precedenza”. </w:t>
      </w:r>
    </w:p>
    <w:p w:rsidR="00C064DD" w:rsidRPr="0029310E" w:rsidRDefault="00C064DD" w:rsidP="0010745A">
      <w:pPr>
        <w:pStyle w:val="Nessunaspaziatura1"/>
        <w:jc w:val="both"/>
        <w:rPr>
          <w:rFonts w:ascii="Times New Roman" w:hAnsi="Times New Roman"/>
          <w:sz w:val="24"/>
          <w:szCs w:val="24"/>
        </w:rPr>
      </w:pPr>
      <w:r w:rsidRPr="0029310E">
        <w:rPr>
          <w:rFonts w:ascii="Times New Roman" w:hAnsi="Times New Roman"/>
          <w:sz w:val="24"/>
          <w:szCs w:val="24"/>
        </w:rPr>
        <w:t xml:space="preserve">Pertanto, occorre rammentare che: </w:t>
      </w:r>
    </w:p>
    <w:p w:rsidR="00C064DD" w:rsidRPr="0029310E" w:rsidRDefault="00C064DD" w:rsidP="004A1CD7">
      <w:pPr>
        <w:pStyle w:val="Corpotesto"/>
        <w:numPr>
          <w:ilvl w:val="0"/>
          <w:numId w:val="2"/>
        </w:numPr>
        <w:ind w:left="426"/>
        <w:jc w:val="both"/>
        <w:rPr>
          <w:rFonts w:ascii="Times New Roman" w:hAnsi="Times New Roman" w:cs="Times New Roman"/>
          <w:sz w:val="24"/>
          <w:szCs w:val="24"/>
        </w:rPr>
      </w:pPr>
      <w:r w:rsidRPr="0029310E">
        <w:rPr>
          <w:rFonts w:ascii="Times New Roman" w:hAnsi="Times New Roman" w:cs="Times New Roman"/>
          <w:sz w:val="24"/>
          <w:szCs w:val="24"/>
        </w:rPr>
        <w:t xml:space="preserve">rimane immutato il modello di gestione del rischio del PNA 2013, integrato dall’Aggiornamento 2015 (ANAC determina n. 12 del 28 ottobre 2015) in merito anche </w:t>
      </w:r>
      <w:r w:rsidRPr="0029310E">
        <w:rPr>
          <w:rFonts w:ascii="Times New Roman" w:hAnsi="Times New Roman" w:cs="Times New Roman"/>
          <w:kern w:val="0"/>
          <w:sz w:val="24"/>
          <w:szCs w:val="24"/>
          <w:lang w:eastAsia="en-US" w:bidi="ar-SA"/>
        </w:rPr>
        <w:t>all'analisi del contesto, attraverso la quale ottenere le informazioni necessarie a comprendere come il rischio corruttivo possa verificarsi all'interno dell'amministrazione per via delle specificità dell'ambiente in cui essa opera in termini di strutture territoriali e di dinamiche sociali, economiche e culturali, o per via delle caratteristiche organizzative interne</w:t>
      </w:r>
      <w:r w:rsidRPr="0029310E">
        <w:rPr>
          <w:rFonts w:ascii="Times New Roman" w:hAnsi="Times New Roman" w:cs="Times New Roman"/>
          <w:sz w:val="24"/>
          <w:szCs w:val="24"/>
        </w:rPr>
        <w:t xml:space="preserve">; </w:t>
      </w:r>
    </w:p>
    <w:p w:rsidR="00C064DD" w:rsidRPr="0029310E" w:rsidRDefault="00C064DD" w:rsidP="004A1CD7">
      <w:pPr>
        <w:pStyle w:val="Corpotesto"/>
        <w:numPr>
          <w:ilvl w:val="0"/>
          <w:numId w:val="2"/>
        </w:numPr>
        <w:ind w:left="426"/>
        <w:jc w:val="both"/>
        <w:rPr>
          <w:rFonts w:ascii="Times New Roman" w:hAnsi="Times New Roman" w:cs="Times New Roman"/>
          <w:sz w:val="24"/>
          <w:szCs w:val="24"/>
        </w:rPr>
      </w:pPr>
      <w:r w:rsidRPr="0029310E">
        <w:rPr>
          <w:rFonts w:ascii="Times New Roman" w:hAnsi="Times New Roman" w:cs="Times New Roman"/>
          <w:sz w:val="24"/>
          <w:szCs w:val="24"/>
        </w:rPr>
        <w:t xml:space="preserve">e dalla deliberazione </w:t>
      </w:r>
      <w:r w:rsidRPr="0029310E">
        <w:rPr>
          <w:rFonts w:ascii="Times New Roman" w:hAnsi="Times New Roman" w:cs="Times New Roman"/>
          <w:kern w:val="0"/>
          <w:sz w:val="24"/>
          <w:szCs w:val="24"/>
          <w:lang w:eastAsia="en-US" w:bidi="ar-SA"/>
        </w:rPr>
        <w:t>n. 6/2015 recante le “Linee guida in materia di tutela del dipendente pubblico che segnala illeciti (c.d. whistleblower)”.</w:t>
      </w:r>
    </w:p>
    <w:p w:rsidR="00C064DD" w:rsidRPr="0029310E" w:rsidRDefault="00C064DD" w:rsidP="004A1CD7">
      <w:pPr>
        <w:pStyle w:val="Corpotesto"/>
        <w:numPr>
          <w:ilvl w:val="0"/>
          <w:numId w:val="2"/>
        </w:numPr>
        <w:ind w:left="426"/>
        <w:jc w:val="both"/>
        <w:rPr>
          <w:rFonts w:ascii="Times New Roman" w:hAnsi="Times New Roman" w:cs="Times New Roman"/>
          <w:sz w:val="24"/>
          <w:szCs w:val="24"/>
        </w:rPr>
      </w:pPr>
      <w:r w:rsidRPr="0029310E">
        <w:rPr>
          <w:rFonts w:ascii="Times New Roman" w:hAnsi="Times New Roman" w:cs="Times New Roman"/>
          <w:sz w:val="24"/>
          <w:szCs w:val="24"/>
        </w:rPr>
        <w:t xml:space="preserve">quanto indicato nell’Aggiornamento 2015 al PNA 2013, sia per la parte generale che per quella speciale, è da intendersi integrativo anche del PNA 2016. </w:t>
      </w:r>
    </w:p>
    <w:p w:rsidR="00C064DD" w:rsidRPr="0029310E" w:rsidRDefault="00C064DD" w:rsidP="0010745A">
      <w:pPr>
        <w:pStyle w:val="Nessunaspaziatura1"/>
        <w:ind w:left="66"/>
        <w:jc w:val="both"/>
        <w:rPr>
          <w:rFonts w:ascii="Times New Roman" w:hAnsi="Times New Roman"/>
          <w:sz w:val="24"/>
          <w:szCs w:val="24"/>
        </w:rPr>
      </w:pPr>
      <w:r w:rsidRPr="0029310E">
        <w:rPr>
          <w:rFonts w:ascii="Times New Roman" w:hAnsi="Times New Roman"/>
          <w:sz w:val="24"/>
          <w:szCs w:val="24"/>
        </w:rPr>
        <w:t xml:space="preserve">Altra rilevante novità è il “Freedom of Information Act” (Foia). Infatti  il decreto legislativo numero 97/2016 ha modificato sia la legge “anticorruzione” sia la quasi totalità del “decreto trasparenza”. </w:t>
      </w:r>
    </w:p>
    <w:p w:rsidR="00C064DD" w:rsidRPr="0029310E" w:rsidRDefault="00C064DD" w:rsidP="0010745A">
      <w:pPr>
        <w:pStyle w:val="Nessunaspaziatura1"/>
        <w:ind w:left="66"/>
        <w:jc w:val="both"/>
        <w:rPr>
          <w:rFonts w:ascii="Times New Roman" w:hAnsi="Times New Roman"/>
          <w:sz w:val="24"/>
          <w:szCs w:val="24"/>
        </w:rPr>
      </w:pPr>
      <w:r w:rsidRPr="0029310E">
        <w:rPr>
          <w:rFonts w:ascii="Times New Roman" w:hAnsi="Times New Roman"/>
          <w:sz w:val="24"/>
          <w:szCs w:val="24"/>
        </w:rPr>
        <w:t>Se nella versione originale il decreto 33/2013 poneva quale oggetto e fine la “trasparenza della PA”, il Foia ha spostato il baricentro della normativa a favore del “cittadino” e del suo diritto di accesso civico. E’ la libertà di accesso civico l’oggetto del decreto ed il suo fine principale, libertà che viene assicurata attraverso:</w:t>
      </w:r>
    </w:p>
    <w:p w:rsidR="00C064DD" w:rsidRPr="0029310E" w:rsidRDefault="00C064DD" w:rsidP="004A1CD7">
      <w:pPr>
        <w:pStyle w:val="Nessunaspaziatura1"/>
        <w:numPr>
          <w:ilvl w:val="0"/>
          <w:numId w:val="2"/>
        </w:numPr>
        <w:ind w:left="426"/>
        <w:jc w:val="both"/>
        <w:rPr>
          <w:rFonts w:ascii="Times New Roman" w:hAnsi="Times New Roman"/>
          <w:sz w:val="24"/>
          <w:szCs w:val="24"/>
        </w:rPr>
      </w:pPr>
      <w:r w:rsidRPr="0029310E">
        <w:rPr>
          <w:rFonts w:ascii="Times New Roman" w:hAnsi="Times New Roman"/>
          <w:sz w:val="24"/>
          <w:szCs w:val="24"/>
        </w:rPr>
        <w:t xml:space="preserve">l’istituto dell'accesso civico, potenziato rispetto alla prima versione del decreto legislativo 33/2013; </w:t>
      </w:r>
    </w:p>
    <w:p w:rsidR="00C064DD" w:rsidRPr="0029310E" w:rsidRDefault="00C064DD" w:rsidP="004A1CD7">
      <w:pPr>
        <w:pStyle w:val="Nessunaspaziatura1"/>
        <w:numPr>
          <w:ilvl w:val="0"/>
          <w:numId w:val="3"/>
        </w:numPr>
        <w:ind w:left="426"/>
        <w:jc w:val="both"/>
        <w:rPr>
          <w:rFonts w:ascii="Times New Roman" w:hAnsi="Times New Roman"/>
          <w:sz w:val="24"/>
          <w:szCs w:val="24"/>
        </w:rPr>
      </w:pPr>
      <w:r w:rsidRPr="0029310E">
        <w:rPr>
          <w:rFonts w:ascii="Times New Roman" w:hAnsi="Times New Roman"/>
          <w:sz w:val="24"/>
          <w:szCs w:val="24"/>
        </w:rPr>
        <w:t>la pubblicazione di documenti, informazioni e dati concernenti l'organizzazione e l'attività delle pubbliche amministrazioni.</w:t>
      </w:r>
    </w:p>
    <w:p w:rsidR="00C064DD" w:rsidRPr="0029310E" w:rsidRDefault="00C064DD" w:rsidP="0010745A">
      <w:pPr>
        <w:pStyle w:val="Nessunaspaziatura"/>
        <w:jc w:val="both"/>
        <w:rPr>
          <w:rFonts w:ascii="Times New Roman" w:hAnsi="Times New Roman"/>
          <w:sz w:val="24"/>
          <w:szCs w:val="24"/>
        </w:rPr>
      </w:pPr>
      <w:r w:rsidRPr="0029310E">
        <w:rPr>
          <w:rFonts w:ascii="Times New Roman" w:hAnsi="Times New Roman"/>
          <w:sz w:val="24"/>
          <w:szCs w:val="24"/>
        </w:rPr>
        <w:t>Questa Amministrazione mediante apposito regolamento intende disciplinare i criteri e le modalità organizzative per l’effettivo esercizio dei seguenti diritti:</w:t>
      </w:r>
    </w:p>
    <w:p w:rsidR="00C064DD" w:rsidRPr="0029310E" w:rsidRDefault="00C064DD" w:rsidP="0010745A">
      <w:pPr>
        <w:pStyle w:val="Nessunaspaziatura"/>
        <w:ind w:left="180" w:hanging="180"/>
        <w:jc w:val="both"/>
        <w:rPr>
          <w:rFonts w:ascii="Times New Roman" w:hAnsi="Times New Roman"/>
          <w:sz w:val="24"/>
          <w:szCs w:val="24"/>
        </w:rPr>
      </w:pPr>
      <w:r w:rsidRPr="0029310E">
        <w:rPr>
          <w:rFonts w:ascii="Times New Roman" w:hAnsi="Times New Roman"/>
          <w:sz w:val="24"/>
          <w:szCs w:val="24"/>
        </w:rPr>
        <w:t>- l’accesso civico che sancisce il diritto di chiunque di richiedere i documenti, le informazioni o i dati che l’ente abbia omesso</w:t>
      </w:r>
      <w:r w:rsidRPr="0029310E">
        <w:rPr>
          <w:rFonts w:ascii="Times New Roman" w:hAnsi="Times New Roman"/>
          <w:sz w:val="24"/>
          <w:szCs w:val="24"/>
        </w:rPr>
        <w:tab/>
        <w:t>di pubblicare pur avendone l’obbligo ai</w:t>
      </w:r>
      <w:r w:rsidRPr="0029310E">
        <w:rPr>
          <w:rFonts w:ascii="Times New Roman" w:hAnsi="Times New Roman"/>
          <w:sz w:val="24"/>
          <w:szCs w:val="24"/>
        </w:rPr>
        <w:tab/>
        <w:t>sensi del decreto trasparenza;</w:t>
      </w:r>
    </w:p>
    <w:p w:rsidR="00C064DD" w:rsidRPr="0029310E" w:rsidRDefault="00C064DD" w:rsidP="0010745A">
      <w:pPr>
        <w:pStyle w:val="Nessunaspaziatura1"/>
        <w:ind w:left="66"/>
        <w:jc w:val="both"/>
        <w:rPr>
          <w:rFonts w:ascii="Times New Roman" w:hAnsi="Times New Roman"/>
          <w:sz w:val="24"/>
          <w:szCs w:val="24"/>
        </w:rPr>
      </w:pPr>
      <w:r w:rsidRPr="0029310E">
        <w:rPr>
          <w:rFonts w:ascii="Times New Roman" w:hAnsi="Times New Roman"/>
          <w:sz w:val="24"/>
          <w:szCs w:val="24"/>
        </w:rPr>
        <w:lastRenderedPageBreak/>
        <w:t>- l’accesso generalizzato che comporta il diritto di chiunque di accedere a dati, documenti ed informazioni detenuti dall’ente, ulteriori rispetto a quelli sottoposti ad obbligo di pubblicazione, ad esclusione di  quelli sottoposti al regime di riservatezza.</w:t>
      </w:r>
    </w:p>
    <w:p w:rsidR="00C064DD" w:rsidRPr="0029310E" w:rsidRDefault="00C064DD" w:rsidP="0010745A">
      <w:pPr>
        <w:pStyle w:val="Nessunaspaziatura1"/>
        <w:ind w:left="66"/>
        <w:jc w:val="both"/>
        <w:rPr>
          <w:rFonts w:ascii="Times New Roman" w:hAnsi="Times New Roman"/>
          <w:sz w:val="24"/>
          <w:szCs w:val="24"/>
        </w:rPr>
      </w:pPr>
    </w:p>
    <w:p w:rsidR="00C064DD" w:rsidRPr="0029310E" w:rsidRDefault="00C064DD" w:rsidP="0010745A">
      <w:pPr>
        <w:pStyle w:val="Nessunaspaziatura1"/>
        <w:ind w:left="66"/>
        <w:jc w:val="both"/>
        <w:rPr>
          <w:rFonts w:ascii="Times New Roman" w:hAnsi="Times New Roman"/>
          <w:sz w:val="24"/>
          <w:szCs w:val="24"/>
        </w:rPr>
      </w:pPr>
      <w:r w:rsidRPr="0029310E">
        <w:rPr>
          <w:rFonts w:ascii="Times New Roman" w:hAnsi="Times New Roman"/>
          <w:sz w:val="24"/>
          <w:szCs w:val="24"/>
        </w:rPr>
        <w:t xml:space="preserve">E’ il decreto legislativo 97/2016 che ha definitivamente stabilito che il PNA costituisce “un atto di indirizzo” al quale i piani triennali di prevenzione della corruzione devono uniformarsi. Inoltre, è sempre con il d.lgs sopra citato che è stata eliminata la previsione di un apposito programma per la trasparenza sostituendolo con una “sezione” del PTPC. Infine, è bene elencare, tra le novità normative in tema di anticorruzione e trasparenza, anche il nuovo decreto legislativo 50/2016 che: </w:t>
      </w:r>
    </w:p>
    <w:p w:rsidR="00C064DD" w:rsidRPr="0029310E" w:rsidRDefault="00C064DD" w:rsidP="004A1CD7">
      <w:pPr>
        <w:pStyle w:val="Nessunaspaziatura1"/>
        <w:numPr>
          <w:ilvl w:val="0"/>
          <w:numId w:val="3"/>
        </w:numPr>
        <w:ind w:left="426"/>
        <w:jc w:val="both"/>
        <w:rPr>
          <w:rFonts w:ascii="Times New Roman" w:hAnsi="Times New Roman"/>
          <w:sz w:val="24"/>
          <w:szCs w:val="24"/>
        </w:rPr>
      </w:pPr>
      <w:r w:rsidRPr="0029310E">
        <w:rPr>
          <w:rFonts w:ascii="Times New Roman" w:hAnsi="Times New Roman"/>
          <w:sz w:val="24"/>
          <w:szCs w:val="24"/>
        </w:rPr>
        <w:t xml:space="preserve">all’articolo 22, ha previsto la pubblicazione preventiva e la “partecipazione” dei cittadini ai processi decisori relativi alle “grandi opere infrastrutturali e di architettura di rilevanza sociale, aventi impatto sull'ambiente, sulle città e sull'assetto del territorio”; </w:t>
      </w:r>
    </w:p>
    <w:p w:rsidR="00C064DD" w:rsidRPr="0029310E" w:rsidRDefault="00C064DD" w:rsidP="004A1CD7">
      <w:pPr>
        <w:pStyle w:val="Nessunaspaziatura1"/>
        <w:numPr>
          <w:ilvl w:val="0"/>
          <w:numId w:val="3"/>
        </w:numPr>
        <w:ind w:left="426"/>
        <w:jc w:val="both"/>
        <w:rPr>
          <w:rFonts w:ascii="Times New Roman" w:hAnsi="Times New Roman"/>
          <w:sz w:val="24"/>
          <w:szCs w:val="24"/>
        </w:rPr>
      </w:pPr>
      <w:r w:rsidRPr="0029310E">
        <w:rPr>
          <w:rFonts w:ascii="Times New Roman" w:hAnsi="Times New Roman"/>
          <w:sz w:val="24"/>
          <w:szCs w:val="24"/>
        </w:rPr>
        <w:t>mentre, all’articolo 29, impone la pubblicazione di tutti gli atti “relativi alla programmazione di lavori, opere, servizi e forniture, nonché alle procedure per l'affidamento di appalti pubblici di servizi”</w:t>
      </w:r>
    </w:p>
    <w:p w:rsidR="00C064DD" w:rsidRPr="0029310E" w:rsidRDefault="00C064DD" w:rsidP="0010745A">
      <w:pPr>
        <w:jc w:val="both"/>
        <w:rPr>
          <w:rFonts w:ascii="Times New Roman" w:hAnsi="Times New Roman"/>
          <w:sz w:val="24"/>
          <w:szCs w:val="24"/>
        </w:rPr>
      </w:pPr>
    </w:p>
    <w:p w:rsidR="00C064DD" w:rsidRPr="0029310E" w:rsidRDefault="00C064DD" w:rsidP="00CB5228">
      <w:pPr>
        <w:pStyle w:val="grassetto1"/>
        <w:spacing w:line="240" w:lineRule="atLeast"/>
        <w:jc w:val="both"/>
        <w:rPr>
          <w:b w:val="0"/>
          <w:color w:val="000000"/>
        </w:rPr>
      </w:pPr>
      <w:r w:rsidRPr="0029310E">
        <w:rPr>
          <w:b w:val="0"/>
        </w:rPr>
        <w:t xml:space="preserve">L’art. 1 comma 6 della legge 6 novembre 2012, n. 190 “Disposizioni per la prevenzione e la repressione della corruzione e dell'illegalita' nella pubblica amministrazione” così come modificato ed integrato dal </w:t>
      </w:r>
      <w:r w:rsidRPr="0029310E">
        <w:rPr>
          <w:b w:val="0"/>
          <w:color w:val="000000"/>
        </w:rPr>
        <w:t>decreto legislativo 25 maggio 2016, n. 97 “Revisione e semplificazione delle disposizioni in materia di prevenzione della corruzione, pubblicita' e trasparenza, correttivo della legge 6 novembre 2012, n. 190 e del decreto legislativo 14 marzo 2013, n. 33, ai sensi dell'articolo 7 della legge 7 agosto 2015, n. 124, in materia di riorganizzazione delle amministrazioni pubbliche.”</w:t>
      </w:r>
      <w:r w:rsidRPr="0029310E">
        <w:rPr>
          <w:b w:val="0"/>
        </w:rPr>
        <w:t xml:space="preserve"> dispone che </w:t>
      </w:r>
      <w:r w:rsidRPr="0029310E">
        <w:rPr>
          <w:b w:val="0"/>
          <w:color w:val="000000"/>
        </w:rPr>
        <w:t>i comuni con popolazione inferiore a 15.000 abitanti possono aggregarsi per definire in comune, tramite accordi ai sensi dell'articolo 15 della legge 7 agosto 1990, n. 241, il piano triennale per la prevenzione della corruzione, secondo le indicazioni contenute nel Piano nazionale anticorruzione di cui al comma 2-bis.</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Nel campo specifico della lotta alla corruzione l’Autorità continua decisamente nell’opera di prevenzione, sottolineando la centralità del risultato (le misure di prevenzione) anche rispetto ai passaggi e al metodo generale per raggiungerlo. Di qui la scelta nella direzione dell’approfondimento di specifiche realtà amministrative, per tipologie di amministrazioni o per settori specifici di attività. Con il PNA 2016 la scelta viene confermata e rafforzata. A una parte generale volta ad affrontare problematiche relative all’intero comparto delle pubbliche amministrazioni (e dei soggetti di diritto privato in loro controllo) segue una parte dedicata ad una più ampia serie di approfondimenti specifici.</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In tal modo l’Autorità continua a offrire un supporto progressivo, che verrà dunque implementato e integrato nel corso dei prossimi anni, cominciando da alcune delle amministrazioni che in questi primi anni hanno mostrato maggiori problematiche nell’applicazione della legge e in alcuni settori particolarmente esposti a fenomeni di corruzione. Tra queste  tipologie di amministrazioni sono presenti i piccoli comuni</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10745A">
      <w:pPr>
        <w:jc w:val="both"/>
        <w:rPr>
          <w:rFonts w:ascii="Times New Roman" w:hAnsi="Times New Roman"/>
          <w:color w:val="000000"/>
          <w:sz w:val="24"/>
          <w:szCs w:val="24"/>
        </w:rPr>
      </w:pPr>
      <w:r w:rsidRPr="0029310E">
        <w:rPr>
          <w:rFonts w:ascii="Times New Roman" w:hAnsi="Times New Roman"/>
          <w:color w:val="000000"/>
          <w:sz w:val="24"/>
          <w:szCs w:val="24"/>
        </w:rPr>
        <w:t xml:space="preserve">Per delimitare l’ambito di applicazione delle indicazioni relative ai piccoli comuni, occorre identificare un criterio idoneo ad assicurare chiarezza nell’applicazione della disciplina in tema di prevenzione della corruzione. Si ritiene che tale criterio possa essere rappresentato dal numero di abitanti, facendo rientrare nel novero dei piccoli comuni quelli con popolazione inferiore a 15.000 abitanti. Tale criterio riprende quello utilizzato dagli artt. 71 e 73 del decreto legislativo 8 agosto 2000, n. 267 (Testo Unico degli Enti Locali, di seguito TUEL) per disciplinare i differenti sistemi elettorali vigenti negli enti locali. Esso distingue i comuni in due categorie a seconda che il numero di abitanti sia inferiore o superiore a 15.000 riconoscendo, per quelli rientranti nella prima </w:t>
      </w:r>
      <w:r w:rsidRPr="0029310E">
        <w:rPr>
          <w:rFonts w:ascii="Times New Roman" w:hAnsi="Times New Roman"/>
          <w:color w:val="000000"/>
          <w:sz w:val="24"/>
          <w:szCs w:val="24"/>
        </w:rPr>
        <w:lastRenderedPageBreak/>
        <w:t xml:space="preserve">categoria, rilevanti semplificazioni.  L’Autorità, inoltre, ha tenuto conto di quanto previsto nell’art. 3, co. 1-ter, del d.lgs. 33/2013, introdotto dal d.lgs. 97/2016, che dispone che «L’Autorità nazionale anticorruzione può, con il Piano Nazionale Anticorruzione, nel rispetto delle disposizioni del presente decreto, precisare gli obblighi di pubblicazione e le relative modalità di attuazione, in relazione alla natura dei soggetti, alla loro dimensione organizzativa e alle attività svolte, prevedendo in particolare modalità semplificate per i comuni con popolazione inferiore a 15.000 abitanti, per gli ordini e collegi professionali».  È stata altresì seguita un’indicazione di fondo sul favore per forme associative al fine della predisposizione dei PTPC espressa nell’art. 1, co. 6, della l. 190/2012, come sostituito dal d.lgs. 97/2016, secondo cui «i comuni con popolazione inferiore a 15.000 abitanti possono aggregarsi per definire in comune, tramite accordi ai sensi dell’articolo 15 della legge 7 agosto 1990, n. 241, il piano triennale per la prevenzione della corruzione, secondo le indicazioni contenute nel Piano nazionale anticorruzione». </w:t>
      </w:r>
    </w:p>
    <w:p w:rsidR="00C064DD" w:rsidRPr="0029310E" w:rsidRDefault="00C064DD" w:rsidP="00CB5228">
      <w:pPr>
        <w:pStyle w:val="ListParagraph1"/>
        <w:spacing w:line="256" w:lineRule="auto"/>
        <w:ind w:left="0"/>
        <w:jc w:val="both"/>
        <w:rPr>
          <w:rFonts w:ascii="Times New Roman" w:hAnsi="Times New Roman"/>
          <w:color w:val="000000"/>
          <w:sz w:val="24"/>
          <w:szCs w:val="24"/>
        </w:rPr>
      </w:pPr>
      <w:r w:rsidRPr="0029310E">
        <w:rPr>
          <w:rFonts w:ascii="Times New Roman" w:hAnsi="Times New Roman"/>
          <w:sz w:val="24"/>
          <w:szCs w:val="24"/>
        </w:rPr>
        <w:t xml:space="preserve">Il </w:t>
      </w:r>
      <w:r w:rsidRPr="0029310E">
        <w:rPr>
          <w:rFonts w:ascii="Times New Roman" w:hAnsi="Times New Roman"/>
          <w:i/>
          <w:sz w:val="24"/>
          <w:szCs w:val="24"/>
        </w:rPr>
        <w:t>Piano nazionale anticorruzione 2016</w:t>
      </w:r>
      <w:r w:rsidRPr="0029310E">
        <w:rPr>
          <w:rFonts w:ascii="Times New Roman" w:hAnsi="Times New Roman"/>
          <w:sz w:val="24"/>
          <w:szCs w:val="24"/>
        </w:rPr>
        <w:t xml:space="preserve"> (PNA) precisa p</w:t>
      </w:r>
      <w:r w:rsidRPr="0029310E">
        <w:rPr>
          <w:rFonts w:ascii="Times New Roman" w:hAnsi="Times New Roman"/>
          <w:color w:val="000000"/>
          <w:sz w:val="24"/>
          <w:szCs w:val="24"/>
        </w:rPr>
        <w:t xml:space="preserve">er quanto attiene la prevenzione della corruzione nelle forme associative tra enti locali Alla luce delle valutazioni riportate sopra, si ritiene che l’esigua dimensione organizzativa, la proiezione esclusivamente locale delle scelte amministrative e la conseguente frammentazione della strategia di contrasto alla corruzione tra le molteplici realtà locali rappresentino gravi ostacoli a un efficace contrasto alla corruzione.  Le indicazioni che seguono, pertanto, sono principalmente indirizzate a favorire forme di aggregazione tra i comuni che consentano, da un lato, di garantire idoneità di risorse e mezzi e dall’altro di assicurare una risposta alla corruzione non solo locale ma più propriamente territoriale e unitaria. A questo scopo, alcune delle semplificazioni e degli adattamenti proposti si rivolgono esclusivamente ai comuni che abbiano deciso di operare in forma associata, mediante le unioni di comuni, le convenzioni e gli accordi, come previsto dall’art. 41, co. 1, lett. e) del d.lgs. 97/2016. Altre semplificazioni, di carattere generale, destinate tanto alle unioni e alle convenzioni quanto ai singoli comuni con popolazione inferiore a 15.000 abitanti, sono invece analizzate nel § 4. Il favor per l’associazione delle funzioni sembra in linea con l’attuale processo legislativo di riorganizzazione degli enti locali di piccole dimensioni. Ci si riferisce, in particolare, a quanto previsto dall’art. 14, co. 31 ter, del decreto legge 31 maggio 2010, n. 78 (convertito dalla legge 30 luglio 2010, n. 122) «Misure urgenti in materia di stabilizzazione finanziaria e di competitività economica» che introduce, per i comuni con popolazione inferiore a 5.000 abitanti, l’obbligo della gestione associata delle funzioni fondamentali tramite unione o convenzione da attuare, a seguito di proroghe successive, entro il 31 dicembre 2016.  Con riferimento al tema delle funzioni fondamentali, si ritiene opportuno precisare fin da ora che, ad avviso dell’Autorità, le attività in tema di anticorruzione e trasparenza, per le implicazioni gestionali e operative che comportano, dovrebbero essere considerate all’interno della funzione di organizzazione generale dell'amministrazione, a sua volta annoverata tra quelle fondamentali dall’art. 14, co. 27, del già citato d.l. 78/2010.  In base alle considerazioni esposte, si ritiene di dover far leva sul ricorso a unioni di comuni e a convenzioni, oltre che ad accordi, come previsto dal d.lgs. 97/2016, per stabilire modalità operative semplificate, sia per la predisposizione del PTPC sia per la nomina del RPCT.  Si precisa che l’applicabilità delle indicazioni del presente paragrafo prescinde dal numero complessivo di abitanti dei comuni che fanno parte dell’unione o della convenzione. Il ricordato favor del legislatore verso le forme di esercizio associato delle funzioni fondamentali comporta che le semplificazioni qui proposte riguardino forme associative tra piccoli comuni, ma anche forme associative tra piccoli comuni e comuni medio-grandi, con le quali si raggiungono dimensioni organizzative dell’amministrazione comunale più adeguate, tanto in termini di funzionalità generale quanto in termini di prevenzione della corruzione. </w:t>
      </w:r>
    </w:p>
    <w:p w:rsidR="00C064DD" w:rsidRPr="0029310E" w:rsidRDefault="00C064DD" w:rsidP="00CB5228">
      <w:pPr>
        <w:pStyle w:val="ListParagraph1"/>
        <w:spacing w:line="256" w:lineRule="auto"/>
        <w:ind w:left="0"/>
        <w:jc w:val="both"/>
        <w:rPr>
          <w:rFonts w:ascii="Times New Roman" w:hAnsi="Times New Roman"/>
          <w:color w:val="000000"/>
          <w:sz w:val="24"/>
          <w:szCs w:val="24"/>
        </w:rPr>
      </w:pPr>
      <w:r w:rsidRPr="0029310E">
        <w:rPr>
          <w:rFonts w:ascii="Times New Roman" w:hAnsi="Times New Roman"/>
          <w:color w:val="000000"/>
          <w:sz w:val="24"/>
          <w:szCs w:val="24"/>
        </w:rPr>
        <w:lastRenderedPageBreak/>
        <w:t xml:space="preserve">Dall’esame condotto sui PTPC è emerso che le unioni di comuni istituite ai sensi dell’art. 32 del TUEL (enti locali con autonoma personalità giuridica di diritto pubblico rispetto ai comuni aggregati14), hanno già svolto un ruolo di coordinamento nell’azione di prevenzione della corruzione.  In alcuni casi le unioni, infatti, non solo hanno approvato un proprio PTPC con riferimento alle funzioni trasferite dai comuni aderenti e per le relative aree di rischio ma hanno, al contempo, coordinato la formazione finalizzata alla stesura dei PTPC dei singoli comuni, essendo questi ultimi, comunque, obbligati ad adottare un Piano con riferimento alle funzioni non trasferite. Il coordinamento nell’elaborazione dei PTPC ha consentito di semplificare l’attività dei singoli comuni coinvolti mediante la condivisione del processo di individuazione delle aree di rischio e dei criteri di valutazione dello stesso, ma soprattutto attraverso l’analisi del contesto esterno che ha considerato l’intero territorio dell'unione. Di seguito sono indicati gli adattamenti della disciplina in tema di prevenzione della corruzione sia con riferimento alla predisposizione, adozione e attuazione del PTPC, sia con riferimento alla nomina e alle funzioni del RPCT. Le indicazioni che seguono trovano applicazione: </w:t>
      </w:r>
    </w:p>
    <w:p w:rsidR="00C064DD" w:rsidRPr="0029310E" w:rsidRDefault="00C064DD" w:rsidP="00CB5228">
      <w:pPr>
        <w:pStyle w:val="ListParagraph1"/>
        <w:numPr>
          <w:ilvl w:val="0"/>
          <w:numId w:val="21"/>
        </w:numPr>
        <w:spacing w:line="256" w:lineRule="auto"/>
        <w:rPr>
          <w:rFonts w:ascii="Times New Roman" w:hAnsi="Times New Roman"/>
          <w:color w:val="000000"/>
          <w:sz w:val="24"/>
          <w:szCs w:val="24"/>
        </w:rPr>
      </w:pPr>
      <w:r w:rsidRPr="0029310E">
        <w:rPr>
          <w:rFonts w:ascii="Times New Roman" w:hAnsi="Times New Roman"/>
          <w:color w:val="000000"/>
          <w:sz w:val="24"/>
          <w:szCs w:val="24"/>
        </w:rPr>
        <w:t xml:space="preserve">per le unioni istituite per l’esercizio obbligatorio delle funzioni fondamentali; </w:t>
      </w:r>
    </w:p>
    <w:p w:rsidR="00C064DD" w:rsidRPr="0029310E" w:rsidRDefault="00C064DD" w:rsidP="00CB5228">
      <w:pPr>
        <w:pStyle w:val="ListParagraph1"/>
        <w:numPr>
          <w:ilvl w:val="0"/>
          <w:numId w:val="21"/>
        </w:numPr>
        <w:spacing w:line="256" w:lineRule="auto"/>
        <w:rPr>
          <w:rFonts w:ascii="Times New Roman" w:hAnsi="Times New Roman"/>
          <w:color w:val="000000"/>
          <w:sz w:val="24"/>
          <w:szCs w:val="24"/>
        </w:rPr>
      </w:pPr>
      <w:r w:rsidRPr="0029310E">
        <w:rPr>
          <w:rFonts w:ascii="Times New Roman" w:hAnsi="Times New Roman"/>
          <w:color w:val="000000"/>
          <w:sz w:val="24"/>
          <w:szCs w:val="24"/>
        </w:rPr>
        <w:t xml:space="preserve">per le unioni istituite per l’esercizio associato facoltativo di specifiche funzioni.  </w:t>
      </w:r>
    </w:p>
    <w:p w:rsidR="00C064DD" w:rsidRPr="0029310E" w:rsidRDefault="00C064DD" w:rsidP="00CB5228">
      <w:pPr>
        <w:pStyle w:val="ListParagraph1"/>
        <w:spacing w:line="256" w:lineRule="auto"/>
        <w:ind w:firstLine="60"/>
        <w:rPr>
          <w:rFonts w:ascii="Times New Roman" w:hAnsi="Times New Roman"/>
          <w:color w:val="000000"/>
          <w:sz w:val="24"/>
          <w:szCs w:val="24"/>
        </w:rPr>
      </w:pPr>
    </w:p>
    <w:p w:rsidR="00C064DD" w:rsidRPr="0029310E" w:rsidRDefault="00C064DD" w:rsidP="00CB5228">
      <w:pPr>
        <w:pStyle w:val="ListParagraph1"/>
        <w:spacing w:line="256" w:lineRule="auto"/>
        <w:ind w:left="0"/>
        <w:jc w:val="both"/>
        <w:rPr>
          <w:rFonts w:ascii="Times New Roman" w:hAnsi="Times New Roman"/>
          <w:color w:val="000000"/>
          <w:sz w:val="24"/>
          <w:szCs w:val="24"/>
        </w:rPr>
      </w:pPr>
      <w:r w:rsidRPr="0029310E">
        <w:rPr>
          <w:rFonts w:ascii="Times New Roman" w:hAnsi="Times New Roman"/>
          <w:color w:val="000000"/>
          <w:sz w:val="24"/>
          <w:szCs w:val="24"/>
        </w:rPr>
        <w:t xml:space="preserve">Relativamente al Piano triennale di prevenzione della corruzione il PNA specifica che in caso di unione di comuni, si può prevedere la predisposizione di un unico PTPC distinguendo, in applicazione del criterio dell’esercizio della funzione, a seconda se ci si riferisca a: </w:t>
      </w:r>
    </w:p>
    <w:p w:rsidR="00C064DD" w:rsidRPr="0029310E" w:rsidRDefault="00C064DD" w:rsidP="00CB5228">
      <w:pPr>
        <w:pStyle w:val="ListParagraph1"/>
        <w:numPr>
          <w:ilvl w:val="0"/>
          <w:numId w:val="23"/>
        </w:numPr>
        <w:tabs>
          <w:tab w:val="clear" w:pos="1080"/>
          <w:tab w:val="num" w:pos="720"/>
        </w:tabs>
        <w:spacing w:line="256" w:lineRule="auto"/>
        <w:ind w:left="720"/>
        <w:jc w:val="both"/>
        <w:rPr>
          <w:rFonts w:ascii="Times New Roman" w:hAnsi="Times New Roman"/>
          <w:color w:val="000000"/>
          <w:sz w:val="24"/>
          <w:szCs w:val="24"/>
        </w:rPr>
      </w:pPr>
      <w:r w:rsidRPr="0029310E">
        <w:rPr>
          <w:rFonts w:ascii="Times New Roman" w:hAnsi="Times New Roman"/>
          <w:color w:val="000000"/>
          <w:sz w:val="24"/>
          <w:szCs w:val="24"/>
        </w:rPr>
        <w:t xml:space="preserve">funzioni svolte direttamente dall’unione; </w:t>
      </w:r>
    </w:p>
    <w:p w:rsidR="00C064DD" w:rsidRPr="0029310E" w:rsidRDefault="00C064DD" w:rsidP="00CB5228">
      <w:pPr>
        <w:pStyle w:val="ListParagraph1"/>
        <w:numPr>
          <w:ilvl w:val="0"/>
          <w:numId w:val="23"/>
        </w:numPr>
        <w:tabs>
          <w:tab w:val="clear" w:pos="1080"/>
          <w:tab w:val="num" w:pos="720"/>
        </w:tabs>
        <w:spacing w:line="256" w:lineRule="auto"/>
        <w:ind w:left="720"/>
        <w:jc w:val="both"/>
        <w:rPr>
          <w:rFonts w:ascii="Times New Roman" w:hAnsi="Times New Roman"/>
          <w:color w:val="000000"/>
          <w:sz w:val="24"/>
          <w:szCs w:val="24"/>
        </w:rPr>
      </w:pPr>
      <w:r w:rsidRPr="0029310E">
        <w:rPr>
          <w:rFonts w:ascii="Times New Roman" w:hAnsi="Times New Roman"/>
          <w:color w:val="000000"/>
          <w:sz w:val="24"/>
          <w:szCs w:val="24"/>
        </w:rPr>
        <w:t xml:space="preserve">funzioni rimaste in capo ai singoli comuni. </w:t>
      </w:r>
    </w:p>
    <w:p w:rsidR="00C064DD" w:rsidRPr="0029310E" w:rsidRDefault="00C064DD" w:rsidP="00CB5228">
      <w:pPr>
        <w:pStyle w:val="ListParagraph1"/>
        <w:spacing w:line="256" w:lineRule="auto"/>
        <w:ind w:left="0"/>
        <w:jc w:val="both"/>
        <w:rPr>
          <w:rFonts w:ascii="Times New Roman" w:hAnsi="Times New Roman"/>
          <w:color w:val="000000"/>
          <w:sz w:val="24"/>
          <w:szCs w:val="24"/>
        </w:rPr>
      </w:pPr>
      <w:r w:rsidRPr="0029310E">
        <w:rPr>
          <w:rFonts w:ascii="Times New Roman" w:hAnsi="Times New Roman"/>
          <w:color w:val="000000"/>
          <w:sz w:val="24"/>
          <w:szCs w:val="24"/>
        </w:rPr>
        <w:t xml:space="preserve">Rientrano tra le competenze dell’unione la predisposizione, l’adozione e l’attuazione del PTPC e delle misure organizzative in esso contenute, relativamente alle funzioni trasferite all’unione. Ciò in coerenza con il principio secondo cui spetta all’ente che svolge direttamente le funzioni la mappatura dei processi, l’individuazione delle aree di rischio e la programmazione delle misure di prevenzione a esse riferite. Con riferimento alle altre funzioni, che restano in capo ai singoli comuni in quanto non svolte in forma associata: </w:t>
      </w:r>
    </w:p>
    <w:p w:rsidR="00C064DD" w:rsidRPr="0029310E" w:rsidRDefault="00C064DD" w:rsidP="00CB5228">
      <w:pPr>
        <w:pStyle w:val="ListParagraph1"/>
        <w:numPr>
          <w:ilvl w:val="0"/>
          <w:numId w:val="22"/>
        </w:numPr>
        <w:tabs>
          <w:tab w:val="clear" w:pos="1080"/>
          <w:tab w:val="num" w:pos="720"/>
        </w:tabs>
        <w:spacing w:line="256" w:lineRule="auto"/>
        <w:ind w:left="720"/>
        <w:jc w:val="both"/>
        <w:rPr>
          <w:rFonts w:ascii="Times New Roman" w:hAnsi="Times New Roman"/>
          <w:color w:val="000000"/>
          <w:sz w:val="24"/>
          <w:szCs w:val="24"/>
        </w:rPr>
      </w:pPr>
      <w:r w:rsidRPr="0029310E">
        <w:rPr>
          <w:rFonts w:ascii="Times New Roman" w:hAnsi="Times New Roman"/>
          <w:color w:val="000000"/>
          <w:sz w:val="24"/>
          <w:szCs w:val="24"/>
        </w:rPr>
        <w:t xml:space="preserve">qualora lo statuto dell’unione preveda l’associazione della funzione di prevenzione della corruzione, da sola o a seguito dell’associazione della funzione fondamentale di «organizzazione generale dell'amministrazione, gestione finanziaria e contabile e controllo», a seguito di un idoneo coordinamento, l’unico PTPC dell’unione può contenere anche le misure relative alle funzioni non associate, svolte autonomamente dai singoli comuni. Qualora si opti per questa modalità operativa semplificata, resta ferma la responsabilità diretta per l’attuazione delle misure di prevenzione in capo ai singoli comuni e, in particolare, ai soggetti incaricati dell’attuazione; </w:t>
      </w:r>
    </w:p>
    <w:p w:rsidR="00C064DD" w:rsidRPr="0029310E" w:rsidRDefault="00C064DD" w:rsidP="00CB5228">
      <w:pPr>
        <w:pStyle w:val="ListParagraph1"/>
        <w:numPr>
          <w:ilvl w:val="0"/>
          <w:numId w:val="22"/>
        </w:numPr>
        <w:tabs>
          <w:tab w:val="clear" w:pos="1080"/>
          <w:tab w:val="num" w:pos="720"/>
        </w:tabs>
        <w:spacing w:line="256" w:lineRule="auto"/>
        <w:ind w:left="720"/>
        <w:jc w:val="both"/>
        <w:rPr>
          <w:rFonts w:ascii="Times New Roman" w:hAnsi="Times New Roman"/>
          <w:color w:val="000000"/>
          <w:sz w:val="24"/>
          <w:szCs w:val="24"/>
        </w:rPr>
      </w:pPr>
      <w:r w:rsidRPr="0029310E">
        <w:rPr>
          <w:rFonts w:ascii="Times New Roman" w:hAnsi="Times New Roman"/>
          <w:color w:val="000000"/>
          <w:sz w:val="24"/>
          <w:szCs w:val="24"/>
        </w:rPr>
        <w:t>in alternativa, ciascun ente può continuare a predisporre il proprio PTPC, mutuando o rinviando al PTPC dell’unione per quelle parti del PTPC comuni all’unione, con particolare riferimento all’analisi del contesto esterno.</w:t>
      </w:r>
    </w:p>
    <w:p w:rsidR="00C064DD" w:rsidRPr="0029310E" w:rsidRDefault="00C064DD" w:rsidP="00CB5228">
      <w:pPr>
        <w:pStyle w:val="ListParagraph1"/>
        <w:spacing w:line="256" w:lineRule="auto"/>
        <w:ind w:left="0"/>
        <w:jc w:val="both"/>
        <w:rPr>
          <w:rFonts w:ascii="Times New Roman" w:hAnsi="Times New Roman"/>
          <w:color w:val="0000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Alla luce di ciò, il presente piano, in conformità alle prescrizioni della Legge n. 190/2012, risponde alle seguenti esigenze:</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Individuare le attività nell'ambito delle quali è più elevato il rischio di corruzione;</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Prevedere, per le attività individuate ai sensi della lettera a), meccanismi di formazione,</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attuazione e controllo delle decisioni idonei a prevenire il rischio di corruzione;</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Prevedere, con particolare riguardo alle attività individuate ai sensi della lettera a), obblighi di informazione nei confronti del responsabile della prevenzione della corruzione;</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lastRenderedPageBreak/>
        <w:t>Monitorare il rispetto dei termini, previsti dalla legge o dai regolamenti, per la conclusione del procedimento;</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Monitorare i rapporti tra l'amministrazione e i soggetti che con la stessa stipulano contratti o che sono interessati a procedimenti di attuazione, concessione o erogazione di vantaggi economici di qualunque genere, anche verificando eventuali relazioni di parentela o affinità sussistenti tra i titolari, gli amministratori, i soci e i dipendenti degli stessi soggetti e i dirigenti e i dipendenti dell' Amministrazione;</w:t>
      </w:r>
    </w:p>
    <w:p w:rsidR="00C064DD" w:rsidRPr="0029310E" w:rsidRDefault="00C064DD" w:rsidP="0010745A">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Individuare specifici obblighi di trasparenza ulteriori rispetto a quelli previsti da disposizioni di legge.</w:t>
      </w:r>
    </w:p>
    <w:p w:rsidR="00C064DD" w:rsidRPr="0029310E" w:rsidRDefault="00C064DD" w:rsidP="00CB5228">
      <w:pPr>
        <w:pStyle w:val="Paragrafoelenco"/>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CB5228">
      <w:pPr>
        <w:pStyle w:val="Paragrafoelenco"/>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CB5228">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Il presente Piano riconduce a unitarietà il quadro degli strumenti di prevenzione, ricomprendendo anche il Programma Triennale per la Trasparenza e l'Integrità. e il Codice di comportamento dei dipendenti.</w:t>
      </w:r>
    </w:p>
    <w:p w:rsidR="00C064DD" w:rsidRPr="0029310E" w:rsidRDefault="00C064DD" w:rsidP="00CB5228">
      <w:pPr>
        <w:pStyle w:val="Paragrafoelenco"/>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CB5228">
      <w:pPr>
        <w:autoSpaceDE w:val="0"/>
        <w:autoSpaceDN w:val="0"/>
        <w:spacing w:line="240" w:lineRule="auto"/>
        <w:jc w:val="both"/>
        <w:rPr>
          <w:rFonts w:ascii="Times New Roman" w:hAnsi="Times New Roman"/>
          <w:sz w:val="24"/>
          <w:szCs w:val="24"/>
        </w:rPr>
      </w:pPr>
      <w:r w:rsidRPr="0029310E">
        <w:rPr>
          <w:rFonts w:ascii="Times New Roman" w:hAnsi="Times New Roman"/>
          <w:color w:val="000000"/>
          <w:sz w:val="24"/>
          <w:szCs w:val="24"/>
        </w:rPr>
        <w:t xml:space="preserve">Gli enti aderenti all’unione hanno concordato di redigere un unico </w:t>
      </w:r>
      <w:r w:rsidRPr="0029310E">
        <w:rPr>
          <w:rFonts w:ascii="Times New Roman" w:hAnsi="Times New Roman"/>
          <w:i/>
          <w:sz w:val="24"/>
          <w:szCs w:val="24"/>
        </w:rPr>
        <w:t xml:space="preserve">Piano triennale di prevenzione della corruzione </w:t>
      </w:r>
      <w:r w:rsidRPr="0029310E">
        <w:rPr>
          <w:rFonts w:ascii="Times New Roman" w:hAnsi="Times New Roman"/>
          <w:sz w:val="24"/>
          <w:szCs w:val="24"/>
        </w:rPr>
        <w:t>valevole per l’unione relativamente alle funzioni ad essa conferite e per i comuni in relazione alle funzioni da questi gestite direttamente  e  pertanto il piano predisposto dall’Unione deve essere adottato “per adesione” dalle Giunte dei Comuni aderenti, rafforzando ed esplicitando così il legame funzionale che li unisce, ed assumendosi le proprie responsabilità in termini di rispetto delle previsioni ivi contenute</w:t>
      </w:r>
    </w:p>
    <w:p w:rsidR="00C064DD" w:rsidRPr="0029310E" w:rsidRDefault="00C064DD" w:rsidP="00CB5228">
      <w:pPr>
        <w:pStyle w:val="ListParagraph1"/>
        <w:spacing w:line="256" w:lineRule="auto"/>
        <w:ind w:left="0"/>
        <w:jc w:val="both"/>
        <w:rPr>
          <w:rFonts w:ascii="Times New Roman" w:hAnsi="Times New Roman"/>
          <w:sz w:val="24"/>
          <w:szCs w:val="24"/>
        </w:rPr>
      </w:pPr>
      <w:r w:rsidRPr="0029310E">
        <w:rPr>
          <w:rFonts w:ascii="Times New Roman" w:hAnsi="Times New Roman"/>
          <w:sz w:val="24"/>
          <w:szCs w:val="24"/>
        </w:rPr>
        <w:t>Alla luce di quanto sopra ricordato che il presente piano si ritiene possa essere adottato sia per le funzioni svolte direttamente dall’unione che per funzioni rimaste in capo ai singoli comuni in forza del conferimento all’unione operato da tutti i comuni della funzione fondamentale di «organizzazione generale dell'amministrazione, gestione finanziaria e contabile e controllo precisando che per quanto attiene l’organizzazione dei comuni di Borgo Priolo e Rocca Susella che  non hanno conferito all’unione tenuta dei registri di stato civile e di popolazione e compiti in materia di servizi anagrafici nonché in materia di servizi elettorali, nell’esercizio delle funzioni di competenza statale debbano considerarsi confermate e determinazioni dei PTPC precedente integrate per quanto occorre con le determinazioni del presente piano che a tal fine costituisce aggiornamento dei piani comunali.</w:t>
      </w:r>
    </w:p>
    <w:p w:rsidR="00C064DD" w:rsidRPr="0029310E" w:rsidRDefault="00C064DD" w:rsidP="00CB5228">
      <w:pPr>
        <w:pStyle w:val="Paragrafoelenco"/>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2. ANALISI DEL CONTESTO</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Con la determinazione n. 12 del 28 ottobre 2015 di aggiornamento del PNA, l’Autorità nazionale anticorruzione ha previsto che la prima e indispensabile fase del processo di gestione del rischio è quella relativa all'analisi del contesto, attraverso la quale ottenere le informazioni necessarie a comprendere come il rischio corruttivo possa verificarsi all'interno dell'amministrazione per via delle specificità dell'ambiente in cui essa opera in termini di strutture territoriali e di dinamiche sociali, economiche e culturali, o per via delle caratteristiche organizzative interne .</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Il PNA del 2013 conteneva un generico riferimento al contesto ai fini dell'analisi del rischio corruttivo, mentre attraverso questo tipo di analisi si favorisce la predisposizione di un PTPC contestualizzato e, quindi, potenzialmente più efficace.</w:t>
      </w:r>
    </w:p>
    <w:p w:rsidR="00C064DD" w:rsidRPr="0029310E" w:rsidRDefault="00C064DD" w:rsidP="0010745A">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2.1 Contesto esterno</w:t>
      </w:r>
    </w:p>
    <w:p w:rsidR="00C064DD" w:rsidRPr="0029310E" w:rsidRDefault="00C064DD" w:rsidP="0010745A">
      <w:pPr>
        <w:autoSpaceDE w:val="0"/>
        <w:autoSpaceDN w:val="0"/>
        <w:adjustRightInd w:val="0"/>
        <w:spacing w:after="0" w:line="240" w:lineRule="auto"/>
        <w:jc w:val="both"/>
        <w:rPr>
          <w:rFonts w:ascii="Times New Roman" w:hAnsi="Times New Roman"/>
          <w:b/>
          <w:sz w:val="24"/>
          <w:szCs w:val="24"/>
        </w:rPr>
      </w:pPr>
    </w:p>
    <w:p w:rsidR="00C064DD" w:rsidRPr="0029310E" w:rsidRDefault="00C064DD" w:rsidP="0010745A">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Nell’analisi dei contesto esterno, come suggerito dall’ANAC, ci si è avvalsi degli elementi e dei dati contenuti nelle relazioni periodiche sullo stato dell'ordine e della sicurezza pubblica, presentate al Parlamento dal Ministero dell'Interno e pubblicate sul sito della Camera dei Deputati.</w:t>
      </w:r>
    </w:p>
    <w:p w:rsidR="00C064DD" w:rsidRPr="0029310E" w:rsidRDefault="00C064DD" w:rsidP="0010745A">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lastRenderedPageBreak/>
        <w:t xml:space="preserve">In base ai dati contenuti nella Relazione sull’attività  delle forze di polizia, sullo stato dell’ordine e della sicurezza pubblica e sulla criminalità organizzata (Anno 2014) (Articolo 113 della legge 1º aprile 1981, n. 121, e successive modificazioni; articolo 109 del codice di cui al decreto legislativo 6 settembre 2011, n. 159; articolo 3, comma 1, del testo unico di cui al decreto legislativo 25 luglio 1998, n. 286, e successive modificazioni, e articolo 3, comma 3, del decreto-legge 14 agosto 2013, n. 93, convertito, con modificazioni, dalla legge 15 ottobre 2013, n. 119) presentata dal Ministro dell’interno (Alfano) Comunicata alla Presidenza il 14 gennaio 2016, disponibile alla pagina web: </w:t>
      </w:r>
      <w:hyperlink r:id="rId7" w:history="1">
        <w:r w:rsidRPr="0029310E">
          <w:rPr>
            <w:rStyle w:val="Collegamentoipertestuale"/>
            <w:rFonts w:ascii="Times New Roman" w:hAnsi="Times New Roman"/>
            <w:sz w:val="24"/>
            <w:szCs w:val="24"/>
          </w:rPr>
          <w:t>http://www.camera.it/_dati/leg17/lavori/documentiparlamentari/IndiceETesti/038/003t01_RS/INTERO_COM.pdf</w:t>
        </w:r>
      </w:hyperlink>
      <w:r w:rsidRPr="0029310E">
        <w:rPr>
          <w:rFonts w:ascii="Times New Roman" w:hAnsi="Times New Roman"/>
          <w:sz w:val="24"/>
          <w:szCs w:val="24"/>
        </w:rPr>
        <w:t xml:space="preserve">  per la provincia di appartenenza dell’ente, risulta quanto segue:</w:t>
      </w:r>
    </w:p>
    <w:p w:rsidR="00C064DD" w:rsidRPr="0029310E" w:rsidRDefault="00C064DD" w:rsidP="0010745A">
      <w:pPr>
        <w:jc w:val="both"/>
        <w:rPr>
          <w:rFonts w:ascii="Times New Roman" w:hAnsi="Times New Roman"/>
          <w:color w:val="000000"/>
          <w:sz w:val="24"/>
          <w:szCs w:val="24"/>
        </w:rPr>
      </w:pPr>
    </w:p>
    <w:p w:rsidR="00C064DD" w:rsidRPr="0029310E" w:rsidRDefault="00C064DD" w:rsidP="0010745A">
      <w:pPr>
        <w:jc w:val="both"/>
        <w:rPr>
          <w:rFonts w:ascii="Times New Roman" w:hAnsi="Times New Roman"/>
          <w:i/>
          <w:sz w:val="24"/>
          <w:szCs w:val="24"/>
        </w:rPr>
      </w:pPr>
      <w:r w:rsidRPr="0029310E">
        <w:rPr>
          <w:rFonts w:ascii="Times New Roman" w:hAnsi="Times New Roman"/>
          <w:color w:val="000000"/>
          <w:sz w:val="24"/>
          <w:szCs w:val="24"/>
        </w:rPr>
        <w:t xml:space="preserve">PROVINCIA D I PAVIA “ </w:t>
      </w:r>
      <w:r w:rsidRPr="0029310E">
        <w:rPr>
          <w:rFonts w:ascii="Times New Roman" w:hAnsi="Times New Roman"/>
          <w:i/>
          <w:sz w:val="24"/>
          <w:szCs w:val="24"/>
        </w:rPr>
        <w:t xml:space="preserve">Nonostante la provincia pavese, area economicamente sviluppata, si connoti ancora per una florida situazione economica, la stessa non è risultata immune dagli effetti della crisi economica che ha investito l'intero territorio nazionale e che ha prodotto ripercussioni sia sul tessuto produttivo268 che in termini occupazionali, con un ridimensionamento dei costi da sostenere da parte di molte aziende (e conseguenti ricadute negative negli adempimenti per tutela dell'ambiente), quando non anche la loro chiusura.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Le attività investigative condotte negli ultimi anni hanno consentito di accertare sia l'influenza nell'area delle dinamiche criminali che interessano il milanese (tra cui anche episodi di corruzione, estorsioni e traffici di droga) sia la presenza di significative presenze della criminalità organizzata italiana, in particolare di 'Ndrangheta (in grado di incidere negativamente sull'area politica, amministrativa ed imprenditoriale di questa provincia) e di Cosa nostra siciliana, per le quali l’adiacenza al territorio del Capoluogo regionale, unita alle maggiori possibilità di realizzare il condizionamento di enti medio-piccoli, costituiscono certamente una notevole attrattiva.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Al riguardo, la nota operazione del 2010 denominata "Il Crimine-Infinito" ed il successivo iter processuale hanno accertato l'esistenza e delineato la struttura della "locale" della 'Ndrangheta di Pavia.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Attività investigative di contrasto alla 'Ndrangheta, in particolare all'operatività nella provincia meneghina delle cosche di origine reggina "Barbaro-Papalia" e "Libri-De StefanoTegano'', hanno infine riguardato anche alcuni elementi residenti in questa provincia.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Relativamente a Cosa nostra, si segnala l'interesse ad infiltrare il tessuto imprenditoriale della provincia, attraverso l'acquisizione di quote societarie funzionali al controllo di talune imprese di primaria importanza.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La provincia risente, inoltre, della passata migrazione nel Capoluogo regionale di elementi i quali, oggi, ritengono quest'area "periferica" più idonea ad una gestione defilata delle proprie attività.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In sintesi, si delineano da parte della criminalità organizzata autoctona tentativi di infiltrazione del tessuto economico-imprenditoriale locale, anche finalizzato all'intromissione in appalti pubblici270, sostenuti sia dalla ricerca del consenso che dall'assoggettamento forzato.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Sul territorio pavese vanno altresì emergendo episodi di corruttibilità anche tra soggetti con incarichi dirigenziali in strutture pubbliche, in passato amministratori pubblici locali, volti a favorire l'attività di imprenditori scorretti, alterando le regole della sana competizione imprenditoriale.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lastRenderedPageBreak/>
        <w:t xml:space="preserve">In aumento i casi di estorsione censiti sul territorio i quali, piuttosto che ad attività in forma organizzata, appaiono al momento ancora circoscrivibili a singoli episodi o attribuibili a contesti di tipo familiare.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In ordine alla criminalità di matrice straniera la provincia di Pavia mostra una sensibile operatività, senza al momento fare trasparire convergenze con la criminalità organizzata autoctona, di singoli elementi e gruppi, attivi nella consumazione di reati contro la persona (tra cui lesioni ma anche casi di omicidio, scaturiti da litigi, e violenze sessuali) o il patrimonio (specie i furti, ma anche ricettazioni, estorsioni e rapine) nonché concernenti gli stupefacenti o la prostituzione. Tra gli stranieri, particolare attenzione viene rivolta agli albanesi (tra i quali, in anni passati, sono state censite cruente frizioni per il controllo dei propri traffici illeciti) i nordafricani, i sudamericani ed i romeni,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L'azione di contrasto alle ancora presenti (sebbene in diminuzione) pratiche di sfruttamento della prostituzione, cui in particolare i gruppi criminali albanesi e romeni manifestano interesse, ha fatto emergere già dal 2013 l'operatività in questa provincia (ed in quelle di Milano e Bergamo) di un sodalizio multietnico (costituito da albanesi, romeni, egiziani ed anche italiani) attivo, con caratteri di transnazionalità, tra l'Italia e la Romania. Analoga presenza si rileva (nell'ambito di attività coinvolgenti diverse province del vicino Piemonte), in questo settore illecito, sul conto di un sodalizio maturato tra elementi italiani e stranieri (bulgari, ucraini e russi).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Particolare attenzione viene rivolta anche ai cinesi che, in questa provincia, gestiscono centri benessere (ove talvolta sono state rilevate attività prostitutive), attività di ristorazione ed esercizi commerciali.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Il territorio pavese, sebbene in misura decisamente meno consistente rispetto all'adiacente provincia di Milano, è interessato da non trascurabili sequestri di stupefacenti (talora approvvigionati proprio nell'area meneghina). Nell'anno 2014, in provincia di Pavia, sono stati complessivamente intercettati oltre quasi 180 kg. di droga e deferite all'A.G., per tali delitti, 169 persone (di cui 59 straniere); il traffico e lo spaccio di droga, il cui contrasto fa comunque rilevare una netta prevalenza delle segnalazioni a carico di italiani, evidenzia tra gli stranieri un interesse da parte di magrebini, albanesi e sudamericani, ma pure soggetti romeni o egiziani, che in qualche caso danno luogo a sodalizi multietnici anche con italiani.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In tale contesto vanno anche annotati frequenti contatti, da parte di soggetti operanti in questa provincia, con referenti all'estero (in Spagna, Olanda e Sudamerica) dei cartelli del narcotraffico, il cui attento monitoraggio, talvolta, da luogo a sequestri di droga di una certa consistenza.</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La criminalità predatoria, fenomeno di particolare allarme sociale, trova terreno fertile in un territorio vasto e con insediamenti abitativi in numerosi piccoli centri (ben collegati tra loro e con la metropoli milanese). La consumazione di delitti contro il patrimonio fa registrare una notevole incidenza da parte degli stranieri (sudamericani, albanesi, romeni, bulgari, egiziani) e pure di soggetti nomadi; anche per tali reati si evidenziano frequentemente casi di "pendolarità" da e verso altre province (le adiacenti Milano e Lodi, ma anche e, talvolta, modalità di consumazione spregiudicate e violente. Nel citato contesto, i furti con destrezza e gli , per lo più, appaiono addebitabili all'operato di elementi nomadi e residualmente a tossicodipendenti locali.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t xml:space="preserve">Nella provincia di Pavia è costante l'azione di contrasto del fenomeno delle truffe in danno di persone anziane, ad opera sia di soggetti nomadi (rom e sinti) che di elementi napoletani e siciliani. </w:t>
      </w:r>
    </w:p>
    <w:p w:rsidR="00C064DD" w:rsidRPr="0029310E" w:rsidRDefault="00C064DD" w:rsidP="0010745A">
      <w:pPr>
        <w:jc w:val="both"/>
        <w:rPr>
          <w:rFonts w:ascii="Times New Roman" w:hAnsi="Times New Roman"/>
          <w:i/>
          <w:sz w:val="24"/>
          <w:szCs w:val="24"/>
        </w:rPr>
      </w:pPr>
      <w:r w:rsidRPr="0029310E">
        <w:rPr>
          <w:rFonts w:ascii="Times New Roman" w:hAnsi="Times New Roman"/>
          <w:i/>
          <w:sz w:val="24"/>
          <w:szCs w:val="24"/>
        </w:rPr>
        <w:lastRenderedPageBreak/>
        <w:t xml:space="preserve">Sebbene appaiano meno frequenti di altre violazioni, in quest'area territoriale si connotano infine per un aumento i casi di contraffazione di marchi e prodotti industriali ed i delitti contro la persona (tra cui anche atti sessuali con minorenni ed omicidi volontari tentati e consumati). </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Nello specifico non risultano disponibili dati aggiornati sui reati di concussione/corruzione riguardanti la Provincia di Pavia.</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In tal senso si rinvia al documento elaborato dall’ANAC dal titolo: “ Corruzione sommersa e corruzione emersa in Italia: modalità di misurazione e prime evidenze empiriche”.</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Per quanto concerne il territorio dell’ente, in base ai dati in possesso, non si segnalano eventi rilevanti ai fini del presente piano.</w:t>
      </w:r>
    </w:p>
    <w:p w:rsidR="00C064DD" w:rsidRPr="0029310E" w:rsidRDefault="00C064DD" w:rsidP="00C37195">
      <w:pPr>
        <w:autoSpaceDE w:val="0"/>
        <w:autoSpaceDN w:val="0"/>
        <w:adjustRightInd w:val="0"/>
        <w:spacing w:after="0" w:line="240" w:lineRule="auto"/>
        <w:rPr>
          <w:rFonts w:ascii="TT3Eo00" w:hAnsi="TT3Eo00" w:cs="TT3Eo00"/>
          <w:color w:val="CD3300"/>
          <w:sz w:val="24"/>
          <w:szCs w:val="24"/>
        </w:rPr>
      </w:pPr>
    </w:p>
    <w:p w:rsidR="00C064DD" w:rsidRPr="0029310E" w:rsidRDefault="00C064DD" w:rsidP="00D456FD">
      <w:pPr>
        <w:autoSpaceDE w:val="0"/>
        <w:autoSpaceDN w:val="0"/>
        <w:adjustRightInd w:val="0"/>
        <w:spacing w:after="0" w:line="240" w:lineRule="auto"/>
        <w:rPr>
          <w:rFonts w:ascii="Times New Roman" w:hAnsi="Times New Roman"/>
          <w:b/>
          <w:sz w:val="24"/>
          <w:szCs w:val="24"/>
        </w:rPr>
      </w:pPr>
      <w:r w:rsidRPr="0029310E">
        <w:rPr>
          <w:rFonts w:ascii="Times New Roman" w:hAnsi="Times New Roman"/>
          <w:b/>
          <w:sz w:val="24"/>
          <w:szCs w:val="24"/>
        </w:rPr>
        <w:t>2.2 Contesto interno</w:t>
      </w:r>
    </w:p>
    <w:p w:rsidR="00C064DD" w:rsidRPr="0029310E" w:rsidRDefault="00C064DD" w:rsidP="00C37195">
      <w:pPr>
        <w:autoSpaceDE w:val="0"/>
        <w:autoSpaceDN w:val="0"/>
        <w:adjustRightInd w:val="0"/>
        <w:spacing w:after="0" w:line="240" w:lineRule="auto"/>
        <w:rPr>
          <w:rFonts w:ascii="TT3Eo00" w:hAnsi="TT3Eo00" w:cs="TT3Eo00"/>
          <w:color w:val="CD3300"/>
          <w:sz w:val="24"/>
          <w:szCs w:val="24"/>
        </w:rPr>
      </w:pP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 xml:space="preserve">I Comuni di </w:t>
      </w:r>
      <w:r w:rsidRPr="0029310E">
        <w:rPr>
          <w:rFonts w:ascii="Times New Roman" w:hAnsi="Times New Roman"/>
          <w:bCs/>
          <w:sz w:val="24"/>
          <w:szCs w:val="24"/>
        </w:rPr>
        <w:t xml:space="preserve">Borgo Priolo, Borgoratto Mormorolo, Montesegale, Rocca Susella </w:t>
      </w:r>
      <w:r w:rsidRPr="0029310E">
        <w:rPr>
          <w:rFonts w:ascii="Times New Roman" w:hAnsi="Times New Roman"/>
          <w:sz w:val="24"/>
          <w:szCs w:val="24"/>
        </w:rPr>
        <w:t>con atti approvati dai rispettivi Consigli Comunali hanno costituito l’Unione di comuni lombarda denominata “</w:t>
      </w:r>
      <w:r w:rsidRPr="0029310E">
        <w:rPr>
          <w:rFonts w:ascii="Times New Roman" w:hAnsi="Times New Roman"/>
          <w:bCs/>
          <w:sz w:val="24"/>
          <w:szCs w:val="24"/>
        </w:rPr>
        <w:t xml:space="preserve">Borghi e valli dell’Oltrepò” ai sensi </w:t>
      </w:r>
      <w:r w:rsidRPr="0029310E">
        <w:rPr>
          <w:rFonts w:ascii="Times New Roman" w:hAnsi="Times New Roman"/>
          <w:sz w:val="24"/>
          <w:szCs w:val="24"/>
        </w:rPr>
        <w:t>e per gli effetti dell’articolo 32 del decreto legislativo 18 agosto 2000, n. 267 “Testo unico delle leggi sull'ordinamento degli enti locali” e dell’articolo 18 della legge regionale 27 giugno 2008 , n. 19 “Riordino delle Comunità montane della Lombardia, disciplina delle unioni di comuni lombarde e sostegno all'esercizio associato di funzioni e servizi comunali”</w:t>
      </w: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Con i medesimi atti sono stati approvati lo Statuto e l’atto costitutivo dell’Unione;</w:t>
      </w: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L’atto costitutivo è stato sottoscritto dai Sindaci aderenti all’Unione in data 06/04/2016 Rep. n. 01 del 06/04/2016</w:t>
      </w: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Lo Statuto dell’Unione è stato pubblicato divenuto esecutivo il 31/03/2016</w:t>
      </w: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Si sono regolarmente insediati gli organi dell’Unione così come previsto dallo Statuto giuste deliberazioni del 06/04/2016;</w:t>
      </w: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L’art. 4 dell’atto costitutivo prevede che l’Unione è costituita per l’esercizio congiunto di servizi e funzioni dei comuni che la compongono come meglio indicate nello statuto.</w:t>
      </w: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 xml:space="preserve">L’art. </w:t>
      </w:r>
      <w:bookmarkStart w:id="0" w:name="_Toc357088705"/>
      <w:bookmarkStart w:id="1" w:name="ART6"/>
      <w:r w:rsidRPr="0029310E">
        <w:rPr>
          <w:rFonts w:ascii="Times New Roman" w:hAnsi="Times New Roman"/>
          <w:sz w:val="24"/>
          <w:szCs w:val="24"/>
        </w:rPr>
        <w:t>8 (Funzioni dell’unione</w:t>
      </w:r>
      <w:bookmarkEnd w:id="0"/>
      <w:r w:rsidRPr="0029310E">
        <w:rPr>
          <w:rFonts w:ascii="Times New Roman" w:hAnsi="Times New Roman"/>
          <w:sz w:val="24"/>
          <w:szCs w:val="24"/>
        </w:rPr>
        <w:t xml:space="preserve">) dello statuto dell’Unione prevede </w:t>
      </w:r>
    </w:p>
    <w:p w:rsidR="00C064DD" w:rsidRPr="0029310E" w:rsidRDefault="00C064DD" w:rsidP="00F35621">
      <w:pPr>
        <w:numPr>
          <w:ilvl w:val="0"/>
          <w:numId w:val="4"/>
        </w:numPr>
        <w:tabs>
          <w:tab w:val="clear" w:pos="360"/>
          <w:tab w:val="num" w:pos="-3960"/>
        </w:tabs>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 xml:space="preserve">al comma </w:t>
      </w:r>
      <w:bookmarkEnd w:id="1"/>
      <w:r w:rsidRPr="0029310E">
        <w:rPr>
          <w:rFonts w:ascii="Times New Roman" w:hAnsi="Times New Roman"/>
          <w:sz w:val="24"/>
          <w:szCs w:val="24"/>
        </w:rPr>
        <w:t>1 che i Comuni conferiscono all’Unione l’esercizio delle funzioni fondamentali dei Comuni aderenti, nei termini previsti dal legislatore nazionale, nonché le ulteriori funzioni conferite dalla legge regionale.</w:t>
      </w:r>
    </w:p>
    <w:p w:rsidR="00C064DD" w:rsidRPr="0029310E" w:rsidRDefault="00C064DD" w:rsidP="00F35621">
      <w:pPr>
        <w:numPr>
          <w:ilvl w:val="0"/>
          <w:numId w:val="4"/>
        </w:numPr>
        <w:tabs>
          <w:tab w:val="clear" w:pos="360"/>
          <w:tab w:val="num" w:pos="-3600"/>
        </w:tabs>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al comma 5 che fatte salve le ulteriori possibilità di conferimento previste dal presente articolo, l’elenco delle funzioni fondamentali e dei relativi servizi nonché dei servizi non riferibili a funzioni tutti conferibili all’Unione, nei modi stabiliti al successivo articolo 9 e, comunque, alle condizioni e nei termini previsti dalla legge nazionale e regionale, è indicato nell’allegato “A” allo Statuto, del quale costituisce parte integrante e sostanziale.</w:t>
      </w:r>
    </w:p>
    <w:p w:rsidR="00C064DD" w:rsidRPr="0029310E" w:rsidRDefault="00C064DD" w:rsidP="00D456FD">
      <w:pPr>
        <w:pStyle w:val="Default"/>
        <w:rPr>
          <w:rFonts w:ascii="Times New Roman" w:hAnsi="Times New Roman" w:cs="Times New Roman"/>
          <w:bCs/>
        </w:rPr>
      </w:pPr>
    </w:p>
    <w:p w:rsidR="00C064DD" w:rsidRPr="0029310E" w:rsidRDefault="00C064DD" w:rsidP="00BC5A9E">
      <w:pPr>
        <w:pStyle w:val="Default"/>
        <w:jc w:val="both"/>
        <w:rPr>
          <w:rFonts w:ascii="Times New Roman" w:hAnsi="Times New Roman" w:cs="Times New Roman"/>
        </w:rPr>
      </w:pPr>
      <w:r w:rsidRPr="0029310E">
        <w:rPr>
          <w:rFonts w:ascii="Times New Roman" w:hAnsi="Times New Roman"/>
        </w:rPr>
        <w:t xml:space="preserve">Si precisa </w:t>
      </w:r>
      <w:r w:rsidRPr="0029310E">
        <w:rPr>
          <w:rFonts w:ascii="Times New Roman" w:hAnsi="Times New Roman" w:cs="Times New Roman"/>
          <w:bCs/>
        </w:rPr>
        <w:t xml:space="preserve">che </w:t>
      </w:r>
      <w:r w:rsidRPr="0029310E">
        <w:rPr>
          <w:rFonts w:ascii="Times New Roman" w:hAnsi="Times New Roman" w:cs="Times New Roman"/>
        </w:rPr>
        <w:t>i comuni costituenti l’Unione hanno approvato l’aggiornamento del Piano triennale di prevenzione della corruzione per le annualità precedenti così come segue:</w:t>
      </w:r>
    </w:p>
    <w:p w:rsidR="00C064DD" w:rsidRPr="0029310E" w:rsidRDefault="00C064DD" w:rsidP="00BC5A9E">
      <w:pPr>
        <w:pStyle w:val="ListParagraph1"/>
        <w:spacing w:line="256" w:lineRule="auto"/>
        <w:ind w:left="0"/>
        <w:jc w:val="both"/>
        <w:rPr>
          <w:rFonts w:ascii="Times New Roman" w:hAnsi="Times New Roman"/>
          <w:sz w:val="24"/>
          <w:szCs w:val="24"/>
        </w:rPr>
      </w:pPr>
    </w:p>
    <w:p w:rsidR="00C064DD" w:rsidRPr="0029310E" w:rsidRDefault="00C064DD" w:rsidP="00BC5A9E">
      <w:pPr>
        <w:pStyle w:val="ListParagraph1"/>
        <w:numPr>
          <w:ilvl w:val="0"/>
          <w:numId w:val="19"/>
        </w:numPr>
        <w:spacing w:line="256" w:lineRule="auto"/>
        <w:jc w:val="both"/>
        <w:rPr>
          <w:rFonts w:ascii="Times New Roman" w:hAnsi="Times New Roman"/>
          <w:bCs/>
          <w:sz w:val="24"/>
          <w:szCs w:val="24"/>
        </w:rPr>
      </w:pPr>
      <w:r w:rsidRPr="0029310E">
        <w:rPr>
          <w:rFonts w:ascii="Times New Roman" w:hAnsi="Times New Roman"/>
          <w:sz w:val="24"/>
          <w:szCs w:val="24"/>
        </w:rPr>
        <w:t xml:space="preserve">comune di </w:t>
      </w:r>
      <w:r w:rsidRPr="0029310E">
        <w:rPr>
          <w:rFonts w:ascii="Times New Roman" w:hAnsi="Times New Roman"/>
          <w:bCs/>
          <w:sz w:val="24"/>
          <w:szCs w:val="24"/>
        </w:rPr>
        <w:t xml:space="preserve">Borgo Priolo deliberazione n.9 del 28/01/2016 </w:t>
      </w:r>
    </w:p>
    <w:p w:rsidR="00C064DD" w:rsidRPr="0029310E" w:rsidRDefault="00C064DD" w:rsidP="00BC5A9E">
      <w:pPr>
        <w:pStyle w:val="ListParagraph1"/>
        <w:numPr>
          <w:ilvl w:val="0"/>
          <w:numId w:val="19"/>
        </w:numPr>
        <w:spacing w:line="256" w:lineRule="auto"/>
        <w:jc w:val="both"/>
        <w:rPr>
          <w:rFonts w:ascii="Times New Roman" w:hAnsi="Times New Roman"/>
          <w:bCs/>
          <w:sz w:val="24"/>
          <w:szCs w:val="24"/>
        </w:rPr>
      </w:pPr>
      <w:r w:rsidRPr="0029310E">
        <w:rPr>
          <w:rFonts w:ascii="Times New Roman" w:hAnsi="Times New Roman"/>
          <w:sz w:val="24"/>
          <w:szCs w:val="24"/>
        </w:rPr>
        <w:t>comune di</w:t>
      </w:r>
      <w:r w:rsidRPr="0029310E">
        <w:rPr>
          <w:rFonts w:ascii="Times New Roman" w:hAnsi="Times New Roman"/>
          <w:bCs/>
          <w:sz w:val="24"/>
          <w:szCs w:val="24"/>
        </w:rPr>
        <w:t xml:space="preserve"> Borgoratto Mormorolo deliberazione n.14 del 18/01/2016 </w:t>
      </w:r>
    </w:p>
    <w:p w:rsidR="00C064DD" w:rsidRPr="0029310E" w:rsidRDefault="00C064DD" w:rsidP="00BC5A9E">
      <w:pPr>
        <w:pStyle w:val="ListParagraph1"/>
        <w:numPr>
          <w:ilvl w:val="0"/>
          <w:numId w:val="19"/>
        </w:numPr>
        <w:spacing w:line="256" w:lineRule="auto"/>
        <w:jc w:val="both"/>
        <w:rPr>
          <w:rFonts w:ascii="Times New Roman" w:hAnsi="Times New Roman"/>
          <w:bCs/>
          <w:sz w:val="24"/>
          <w:szCs w:val="24"/>
        </w:rPr>
      </w:pPr>
      <w:r w:rsidRPr="0029310E">
        <w:rPr>
          <w:rFonts w:ascii="Times New Roman" w:hAnsi="Times New Roman"/>
          <w:sz w:val="24"/>
          <w:szCs w:val="24"/>
        </w:rPr>
        <w:t>comune di</w:t>
      </w:r>
      <w:r w:rsidRPr="0029310E">
        <w:rPr>
          <w:rFonts w:ascii="Times New Roman" w:hAnsi="Times New Roman"/>
          <w:bCs/>
          <w:sz w:val="24"/>
          <w:szCs w:val="24"/>
        </w:rPr>
        <w:t xml:space="preserve"> Montesegale deliberazione n.5 del 27/01/2016 </w:t>
      </w:r>
    </w:p>
    <w:p w:rsidR="00C064DD" w:rsidRPr="0029310E" w:rsidRDefault="00C064DD" w:rsidP="00BC5A9E">
      <w:pPr>
        <w:pStyle w:val="ListParagraph1"/>
        <w:numPr>
          <w:ilvl w:val="0"/>
          <w:numId w:val="19"/>
        </w:numPr>
        <w:spacing w:line="256" w:lineRule="auto"/>
        <w:jc w:val="both"/>
        <w:rPr>
          <w:rFonts w:ascii="Times New Roman" w:hAnsi="Times New Roman"/>
          <w:sz w:val="24"/>
          <w:szCs w:val="24"/>
        </w:rPr>
      </w:pPr>
      <w:r w:rsidRPr="0029310E">
        <w:rPr>
          <w:rFonts w:ascii="Times New Roman" w:hAnsi="Times New Roman"/>
          <w:sz w:val="24"/>
          <w:szCs w:val="24"/>
        </w:rPr>
        <w:t>comune di</w:t>
      </w:r>
      <w:r w:rsidRPr="0029310E">
        <w:rPr>
          <w:rFonts w:ascii="Times New Roman" w:hAnsi="Times New Roman"/>
          <w:bCs/>
          <w:sz w:val="24"/>
          <w:szCs w:val="24"/>
        </w:rPr>
        <w:t xml:space="preserve"> Rocca Susella deliberazione n.11 del 28/01/2016 </w:t>
      </w:r>
    </w:p>
    <w:p w:rsidR="00C064DD" w:rsidRPr="0029310E" w:rsidRDefault="00C064DD" w:rsidP="00597D55">
      <w:pPr>
        <w:pStyle w:val="ListParagraph1"/>
        <w:spacing w:line="256" w:lineRule="auto"/>
        <w:ind w:left="0"/>
        <w:jc w:val="both"/>
        <w:rPr>
          <w:rFonts w:ascii="Times New Roman" w:hAnsi="Times New Roman"/>
          <w:sz w:val="24"/>
          <w:szCs w:val="24"/>
        </w:rPr>
      </w:pPr>
    </w:p>
    <w:p w:rsidR="00C064DD" w:rsidRPr="0029310E" w:rsidRDefault="00C064DD" w:rsidP="00F35621">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Con deliberazioni del Consiglio dell’Unione è avvenuto il recepimento in capo l’Unione di comuni lombarda denominata “</w:t>
      </w:r>
      <w:r w:rsidRPr="0029310E">
        <w:rPr>
          <w:rFonts w:ascii="Times New Roman" w:hAnsi="Times New Roman"/>
          <w:bCs/>
          <w:sz w:val="24"/>
          <w:szCs w:val="24"/>
        </w:rPr>
        <w:t>Borghi e valli dell’Oltrepò</w:t>
      </w:r>
      <w:r w:rsidRPr="0029310E">
        <w:rPr>
          <w:rFonts w:ascii="Times New Roman" w:hAnsi="Times New Roman"/>
          <w:sz w:val="24"/>
          <w:szCs w:val="24"/>
        </w:rPr>
        <w:t xml:space="preserve">” delle seguenti funzioni/servizi da parte dei comuni di </w:t>
      </w:r>
      <w:r w:rsidRPr="0029310E">
        <w:rPr>
          <w:rFonts w:ascii="Times New Roman" w:hAnsi="Times New Roman"/>
          <w:bCs/>
          <w:sz w:val="24"/>
          <w:szCs w:val="24"/>
        </w:rPr>
        <w:t>Borgo Priolo, Borgoratto Mormorolo, Montesegale, Rocca Susella</w:t>
      </w:r>
    </w:p>
    <w:p w:rsidR="00C064DD" w:rsidRPr="0029310E" w:rsidRDefault="00C064DD" w:rsidP="00F35621">
      <w:pPr>
        <w:pStyle w:val="ListParagraph1"/>
        <w:numPr>
          <w:ilvl w:val="0"/>
          <w:numId w:val="5"/>
        </w:numPr>
        <w:tabs>
          <w:tab w:val="clear" w:pos="1068"/>
          <w:tab w:val="num" w:pos="-3252"/>
        </w:tabs>
        <w:spacing w:line="256" w:lineRule="auto"/>
        <w:ind w:left="708"/>
        <w:jc w:val="both"/>
        <w:rPr>
          <w:rFonts w:ascii="Times New Roman" w:hAnsi="Times New Roman"/>
          <w:sz w:val="24"/>
          <w:szCs w:val="24"/>
        </w:rPr>
      </w:pPr>
      <w:r w:rsidRPr="0029310E">
        <w:rPr>
          <w:rFonts w:ascii="Times New Roman" w:hAnsi="Times New Roman"/>
          <w:sz w:val="24"/>
          <w:szCs w:val="24"/>
        </w:rPr>
        <w:lastRenderedPageBreak/>
        <w:t xml:space="preserve">funzione “organizzazione generale dell’amministrazione, gestione finanziaria e contabile e controllo” di cui all’art. 14 comma 27 lett. a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289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“organizzazione dei servizi pubblici di interesse generale di ambito comunale, ivi compresi i servizi di trasporto pubblico comunale” di cui all’art. 14 comma 27 lett. b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253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“catasto, ad eccezione delle funzioni mantenute allo stato dalla normativa vigente” di cui all’art. 14 comma 27 lett. c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217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“pianificazione urbanistica ed edilizia di ambito comunale nonché la partecipazione alla pianificazione territoriale di livello sovracomunale” di cui all’art. 14 comma 27 lett. d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181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“attività, in ambito comunale, di pianificazione di protezione civile e di coordinamento dei primi soccorsi” di cui all’art. 14 comma 27 lett. e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145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“organizzazione e gestione dei servizi di raccolta, avvio e smaltimento e recupero dei rifiuti urbani e la riscossione dei relativi tributi” di cui all’art. 14 comma 27 lett. f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109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“progettazione e gestione del sistema locale dei servizi sociali ed erogazione delle relative prestazioni ai cittadini, secondo quanto previsto dall’articolo 118, quarto comma, della costituzione” di cui all’art. 14 comma 27 lett. g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732"/>
        </w:tabs>
        <w:spacing w:line="256" w:lineRule="auto"/>
        <w:ind w:left="708"/>
        <w:jc w:val="both"/>
        <w:rPr>
          <w:rFonts w:ascii="Times New Roman" w:hAnsi="Times New Roman"/>
          <w:sz w:val="24"/>
          <w:szCs w:val="24"/>
        </w:rPr>
      </w:pPr>
      <w:r w:rsidRPr="0029310E">
        <w:rPr>
          <w:rFonts w:ascii="Times New Roman" w:hAnsi="Times New Roman"/>
          <w:sz w:val="24"/>
          <w:szCs w:val="24"/>
        </w:rPr>
        <w:t>funzione “edilizia scolastica per la parte non attribuita alla competenza delle province, organizzazione e gestione dei servizi scolastici” di cui all’art. 14 comma 27 lett. h del decreto legge  31 maggio 2010, n.78, e ss.mm.ii.  mediante costituzione di ufficio unico</w:t>
      </w:r>
    </w:p>
    <w:p w:rsidR="00C064DD" w:rsidRPr="0029310E" w:rsidRDefault="00C064DD" w:rsidP="00F35621">
      <w:pPr>
        <w:pStyle w:val="ListParagraph1"/>
        <w:numPr>
          <w:ilvl w:val="0"/>
          <w:numId w:val="5"/>
        </w:numPr>
        <w:tabs>
          <w:tab w:val="clear" w:pos="1068"/>
          <w:tab w:val="num" w:pos="-37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“polizia municipale e polizia amministrativa locale” di cui all’art. 14 comma 27 lett. i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12"/>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funzione “servizio statistico” di cui all’art. 14 comma 27 lett. l bis del decreto legge  31 maggio 2010, n.78, e ss.mm.ii.  mediante costituzione di ufficio unico </w:t>
      </w:r>
    </w:p>
    <w:p w:rsidR="00C064DD" w:rsidRPr="0029310E" w:rsidRDefault="00C064DD" w:rsidP="00F35621">
      <w:pPr>
        <w:pStyle w:val="ListParagraph1"/>
        <w:numPr>
          <w:ilvl w:val="0"/>
          <w:numId w:val="5"/>
        </w:numPr>
        <w:tabs>
          <w:tab w:val="clear" w:pos="1068"/>
          <w:tab w:val="num" w:pos="348"/>
        </w:tabs>
        <w:spacing w:line="256" w:lineRule="auto"/>
        <w:ind w:left="708"/>
        <w:jc w:val="both"/>
        <w:rPr>
          <w:rFonts w:ascii="Times New Roman" w:hAnsi="Times New Roman"/>
          <w:sz w:val="24"/>
          <w:szCs w:val="24"/>
        </w:rPr>
      </w:pPr>
      <w:r w:rsidRPr="0029310E">
        <w:rPr>
          <w:rFonts w:ascii="Times New Roman" w:hAnsi="Times New Roman"/>
          <w:sz w:val="24"/>
          <w:szCs w:val="24"/>
        </w:rPr>
        <w:t xml:space="preserve">servizi “valorizzazione dei beni di interesse storico, attività culturali e interventi diversi nel settore culturale, sport e tempo libero, giovani, sviluppo e valorizzazione del turismo, reti e altri servizi di pubblica utilità  mediante costituzione di ufficio unico ai sensi dell’ l’art. 8 dello statuto dell’unione </w:t>
      </w:r>
    </w:p>
    <w:p w:rsidR="00C064DD" w:rsidRPr="0029310E" w:rsidRDefault="00C064DD" w:rsidP="00D456FD">
      <w:pPr>
        <w:pStyle w:val="Default"/>
        <w:rPr>
          <w:rFonts w:ascii="Times New Roman" w:hAnsi="Times New Roman" w:cs="Times New Roman"/>
          <w:bCs/>
        </w:rPr>
      </w:pPr>
    </w:p>
    <w:p w:rsidR="00C064DD" w:rsidRPr="0029310E" w:rsidRDefault="00C064DD" w:rsidP="00D456FD">
      <w:pPr>
        <w:pStyle w:val="ListParagraph1"/>
        <w:spacing w:line="256" w:lineRule="auto"/>
        <w:ind w:left="0"/>
        <w:jc w:val="both"/>
        <w:rPr>
          <w:rFonts w:ascii="Times New Roman" w:hAnsi="Times New Roman"/>
          <w:sz w:val="24"/>
          <w:szCs w:val="24"/>
        </w:rPr>
      </w:pPr>
      <w:r w:rsidRPr="0029310E">
        <w:rPr>
          <w:rFonts w:ascii="Times New Roman" w:hAnsi="Times New Roman"/>
          <w:bCs/>
          <w:sz w:val="24"/>
          <w:szCs w:val="24"/>
        </w:rPr>
        <w:t xml:space="preserve">Con deliberazione del consiglio dell’unione è stato recepito il conferimento all’unione da parte dei comuni di Borgoratto Mormorolo e Montesegale della funzione </w:t>
      </w:r>
      <w:r w:rsidRPr="0029310E">
        <w:rPr>
          <w:rFonts w:ascii="Times New Roman" w:hAnsi="Times New Roman"/>
          <w:sz w:val="24"/>
          <w:szCs w:val="24"/>
        </w:rPr>
        <w:t xml:space="preserve">“tenuta dei registri di stato civile e di popolazione e compiti in materia di servizi anagrafici nonché in materia di servizi elettorali, nell’esercizio delle funzioni di competenza statale” di cui all’art. 14 comma 27 lett. L del decreto legge  31 maggio 2010, n.78, e ss.mm.ii.  mediante costituzione di ufficio </w:t>
      </w:r>
    </w:p>
    <w:p w:rsidR="00C064DD" w:rsidRPr="0029310E" w:rsidRDefault="00C064DD" w:rsidP="00D456FD">
      <w:pPr>
        <w:pStyle w:val="ListParagraph1"/>
        <w:spacing w:line="256" w:lineRule="auto"/>
        <w:ind w:left="0"/>
        <w:jc w:val="both"/>
        <w:rPr>
          <w:rFonts w:ascii="Times New Roman" w:hAnsi="Times New Roman"/>
          <w:sz w:val="24"/>
          <w:szCs w:val="24"/>
        </w:rPr>
      </w:pPr>
    </w:p>
    <w:p w:rsidR="00C064DD" w:rsidRPr="0029310E" w:rsidRDefault="00C064DD" w:rsidP="00D456FD">
      <w:pPr>
        <w:pStyle w:val="ListParagraph1"/>
        <w:spacing w:line="256" w:lineRule="auto"/>
        <w:ind w:left="0"/>
        <w:jc w:val="both"/>
        <w:rPr>
          <w:rFonts w:ascii="Times New Roman" w:hAnsi="Times New Roman"/>
          <w:sz w:val="24"/>
          <w:szCs w:val="24"/>
        </w:rPr>
      </w:pPr>
      <w:r w:rsidRPr="0029310E">
        <w:rPr>
          <w:rFonts w:ascii="Times New Roman" w:hAnsi="Times New Roman"/>
          <w:sz w:val="24"/>
          <w:szCs w:val="24"/>
        </w:rPr>
        <w:t>I comuni di Borgo Priolo e Rocca Susella non hanno conferito all’unione tenuta dei registri di stato civile e di popolazione e compiti in materia di servizi anagrafici nonché in materia di servizi elettorali, nell’esercizio delle funzioni di competenza statale” di cui all’art. 14 comma 27 lett. L del decreto legge  31 maggio 2010, n.78, e ss.mm.ii e continuano a gestirla direttamente.</w:t>
      </w:r>
    </w:p>
    <w:p w:rsidR="00C064DD" w:rsidRPr="0029310E" w:rsidRDefault="00C064DD" w:rsidP="005C4FD9">
      <w:pPr>
        <w:autoSpaceDE w:val="0"/>
        <w:autoSpaceDN w:val="0"/>
        <w:adjustRightInd w:val="0"/>
        <w:spacing w:after="0" w:line="240" w:lineRule="auto"/>
        <w:jc w:val="both"/>
        <w:rPr>
          <w:rFonts w:ascii="Times New Roman" w:hAnsi="Times New Roman"/>
          <w:sz w:val="24"/>
          <w:szCs w:val="24"/>
        </w:rPr>
      </w:pPr>
    </w:p>
    <w:p w:rsidR="00C064DD" w:rsidRPr="0029310E" w:rsidRDefault="00C064DD" w:rsidP="004D6A31">
      <w:pPr>
        <w:autoSpaceDE w:val="0"/>
        <w:autoSpaceDN w:val="0"/>
        <w:spacing w:line="240" w:lineRule="auto"/>
        <w:jc w:val="both"/>
        <w:rPr>
          <w:rFonts w:ascii="Times New Roman" w:hAnsi="Times New Roman"/>
          <w:sz w:val="24"/>
          <w:szCs w:val="24"/>
        </w:rPr>
      </w:pPr>
      <w:r w:rsidRPr="0029310E">
        <w:rPr>
          <w:rFonts w:ascii="Times New Roman" w:hAnsi="Times New Roman"/>
          <w:color w:val="000000"/>
          <w:sz w:val="24"/>
          <w:szCs w:val="24"/>
        </w:rPr>
        <w:lastRenderedPageBreak/>
        <w:t xml:space="preserve">Come già specificato in premessa, gli enti aderenti all’unione in forza di quanto previsto dalla normativa e dal PNA (art. 1 co 6 della legge 190/2012 interpretato alla luce del contenuto del PNA) hanno concordato di redigere un unico </w:t>
      </w:r>
      <w:r w:rsidRPr="0029310E">
        <w:rPr>
          <w:rFonts w:ascii="Times New Roman" w:hAnsi="Times New Roman"/>
          <w:i/>
          <w:sz w:val="24"/>
          <w:szCs w:val="24"/>
        </w:rPr>
        <w:t xml:space="preserve">Piano triennale di prevenzione della corruzione </w:t>
      </w:r>
      <w:r w:rsidRPr="0029310E">
        <w:rPr>
          <w:rFonts w:ascii="Times New Roman" w:hAnsi="Times New Roman"/>
          <w:sz w:val="24"/>
          <w:szCs w:val="24"/>
        </w:rPr>
        <w:t>valevole per l’unione relativamente alle funzioni ad essa conferite e per i comuni in relazione alle funzioni da questi gestite direttamente  e  pertanto il piano predisposto dall’Unione deve essere adottato “per adesione” dalle Giunte dei Comuni aderenti, rafforzando ed esplicitando così il legame funzionale che li unisce, ed assumendosi le proprie responsabilità in termini di rispetto delle previsioni ivi contenute</w:t>
      </w:r>
    </w:p>
    <w:p w:rsidR="00C064DD" w:rsidRPr="0029310E" w:rsidRDefault="00C064DD" w:rsidP="004D6A31">
      <w:pPr>
        <w:pStyle w:val="ListParagraph1"/>
        <w:spacing w:line="256" w:lineRule="auto"/>
        <w:ind w:left="0"/>
        <w:jc w:val="both"/>
        <w:rPr>
          <w:rFonts w:ascii="Times New Roman" w:hAnsi="Times New Roman"/>
          <w:sz w:val="24"/>
          <w:szCs w:val="24"/>
        </w:rPr>
      </w:pPr>
      <w:r w:rsidRPr="0029310E">
        <w:rPr>
          <w:rFonts w:ascii="Times New Roman" w:hAnsi="Times New Roman"/>
          <w:sz w:val="24"/>
          <w:szCs w:val="24"/>
        </w:rPr>
        <w:t>Alla luce di quanto sopra ricordato che il presente piano si ritiene possa essere adottato sia per le funzioni svolte direttamente dall’unione che per funzioni rimaste in capo ai singoli comuni in forza del conferimento all’unione operato da tutti i comuni della funzione fondamentale di «organizzazione generale dell'amministrazione, gestione finanziaria e contabile e controllo precisando che per quanto attiene l’organizzazione dei comuni di Borgo Priolo e Rocca Susella che  non hanno conferito all’unione tenuta dei registri di stato civile e di popolazione e compiti in materia di servizi anagrafici nonché in materia di servizi elettorali, nell’esercizio delle funzioni di competenza statale debbano considerarsi confermate e determinazioni dei PTPC precedente integrate per quanto occorre con le determinazioni del presente piano che a tal fine costituisce aggiornamento dei piani comunali.</w:t>
      </w:r>
    </w:p>
    <w:p w:rsidR="00C064DD" w:rsidRPr="0029310E" w:rsidRDefault="00C064DD" w:rsidP="007876B2">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La struttura organizzativa dell’ente è stata definita con la deliberazione di giunta dell’Unione n. 08 del 10/11/2016 - avente ad oggetto “Approvazione struttura organizzativa dei servizi conferiti all’Unione Borghi e Valli dell’Oltrepò”;</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La struttura è ripartita in quattro aree organizzative denominate “Servizi”.</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Ciascun Servizio è organizzato in Uffici.</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Al vertice di ciascun Servizio è posto un dipendente di categoria “D” del CCNL individuato con provvedimento sindacale Responsabile di Servizio titolare di posizione organizzativa.</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Ciascun Servizio è articolato al suo interno in Uffici alla guida dei quali operano dipendenti di categoria “C” del CCNL, pur in assenza di formale provvedimento di nomina/individuazione.</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Il segretario Generale svolge più ruoli: Responsabile Anticorruzione, Responsabile Trasparenza, Responsabile Ufficio Procedimenti disciplinari, Responsabile dei controlli amministrativi interni, Presidente dell’Organismo di valutazione.</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Non sono presenti soggetti in possesso della professionalità necessaria per l’individuazione del vicesegretario;</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Non è prevista la dirigenza;</w:t>
      </w: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La dotazione organica effettiva è la seguente:</w:t>
      </w:r>
    </w:p>
    <w:p w:rsidR="00C064DD" w:rsidRDefault="00C064DD" w:rsidP="0010745A">
      <w:pPr>
        <w:autoSpaceDE w:val="0"/>
        <w:autoSpaceDN w:val="0"/>
        <w:adjustRightInd w:val="0"/>
        <w:spacing w:after="0" w:line="240" w:lineRule="auto"/>
        <w:jc w:val="both"/>
        <w:rPr>
          <w:rFonts w:ascii="Times New Roman" w:hAnsi="Times New Roman"/>
          <w:color w:val="000000"/>
          <w:sz w:val="24"/>
          <w:szCs w:val="24"/>
        </w:rPr>
      </w:pPr>
    </w:p>
    <w:p w:rsidR="00E6056E" w:rsidRDefault="00E6056E" w:rsidP="0010745A">
      <w:pPr>
        <w:autoSpaceDE w:val="0"/>
        <w:autoSpaceDN w:val="0"/>
        <w:adjustRightInd w:val="0"/>
        <w:spacing w:after="0" w:line="240" w:lineRule="auto"/>
        <w:jc w:val="both"/>
        <w:rPr>
          <w:rFonts w:ascii="Times New Roman" w:hAnsi="Times New Roman"/>
          <w:color w:val="000000"/>
          <w:sz w:val="24"/>
          <w:szCs w:val="24"/>
        </w:rPr>
      </w:pPr>
    </w:p>
    <w:p w:rsidR="00E6056E" w:rsidRPr="0029310E" w:rsidRDefault="00E6056E" w:rsidP="0010745A">
      <w:pPr>
        <w:autoSpaceDE w:val="0"/>
        <w:autoSpaceDN w:val="0"/>
        <w:adjustRightInd w:val="0"/>
        <w:spacing w:after="0" w:line="240" w:lineRule="auto"/>
        <w:jc w:val="both"/>
        <w:rPr>
          <w:rFonts w:ascii="Times New Roman" w:hAnsi="Times New Roman"/>
          <w:color w:val="000000"/>
          <w:sz w:val="24"/>
          <w:szCs w:val="24"/>
        </w:rPr>
      </w:pPr>
      <w:bookmarkStart w:id="2" w:name="_GoBack"/>
      <w:bookmarkEnd w:id="2"/>
    </w:p>
    <w:tbl>
      <w:tblPr>
        <w:tblW w:w="5311" w:type="pct"/>
        <w:tblLayout w:type="fixed"/>
        <w:tblCellMar>
          <w:left w:w="70" w:type="dxa"/>
          <w:right w:w="70" w:type="dxa"/>
        </w:tblCellMar>
        <w:tblLook w:val="00A0" w:firstRow="1" w:lastRow="0" w:firstColumn="1" w:lastColumn="0" w:noHBand="0" w:noVBand="0"/>
      </w:tblPr>
      <w:tblGrid>
        <w:gridCol w:w="1541"/>
        <w:gridCol w:w="1226"/>
        <w:gridCol w:w="681"/>
        <w:gridCol w:w="382"/>
        <w:gridCol w:w="563"/>
        <w:gridCol w:w="563"/>
        <w:gridCol w:w="382"/>
        <w:gridCol w:w="563"/>
        <w:gridCol w:w="563"/>
        <w:gridCol w:w="384"/>
        <w:gridCol w:w="563"/>
        <w:gridCol w:w="563"/>
        <w:gridCol w:w="563"/>
        <w:gridCol w:w="563"/>
        <w:gridCol w:w="563"/>
        <w:gridCol w:w="563"/>
        <w:gridCol w:w="160"/>
      </w:tblGrid>
      <w:tr w:rsidR="00C064DD" w:rsidRPr="0029310E" w:rsidTr="00FA7B2C">
        <w:trPr>
          <w:trHeight w:val="525"/>
        </w:trPr>
        <w:tc>
          <w:tcPr>
            <w:tcW w:w="742"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qualifica (giuridico)</w:t>
            </w:r>
          </w:p>
        </w:tc>
        <w:tc>
          <w:tcPr>
            <w:tcW w:w="590" w:type="pct"/>
            <w:tcBorders>
              <w:top w:val="nil"/>
              <w:left w:val="nil"/>
              <w:bottom w:val="nil"/>
              <w:right w:val="nil"/>
            </w:tcBorders>
            <w:vAlign w:val="bottom"/>
          </w:tcPr>
          <w:p w:rsidR="00C064DD" w:rsidRPr="0029310E" w:rsidRDefault="00C064DD" w:rsidP="00A17D1F">
            <w:pPr>
              <w:spacing w:after="0" w:line="240" w:lineRule="auto"/>
              <w:jc w:val="center"/>
              <w:rPr>
                <w:rFonts w:cs="Calibri"/>
                <w:color w:val="000000"/>
                <w:sz w:val="16"/>
                <w:szCs w:val="16"/>
                <w:lang w:eastAsia="it-IT"/>
              </w:rPr>
            </w:pPr>
          </w:p>
        </w:tc>
        <w:tc>
          <w:tcPr>
            <w:tcW w:w="328" w:type="pct"/>
            <w:tcBorders>
              <w:top w:val="nil"/>
              <w:left w:val="single" w:sz="4" w:space="0" w:color="auto"/>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D1</w:t>
            </w:r>
          </w:p>
        </w:tc>
        <w:tc>
          <w:tcPr>
            <w:tcW w:w="184"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D1</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B1</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184"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D1</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C1</w:t>
            </w:r>
          </w:p>
        </w:tc>
        <w:tc>
          <w:tcPr>
            <w:tcW w:w="185" w:type="pct"/>
            <w:tcBorders>
              <w:top w:val="nil"/>
              <w:left w:val="nil"/>
              <w:bottom w:val="single" w:sz="4" w:space="0" w:color="auto"/>
              <w:right w:val="single" w:sz="4" w:space="0" w:color="auto"/>
            </w:tcBorders>
            <w:shd w:val="clear" w:color="000000" w:fill="CCFFFF"/>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w:t>
            </w:r>
          </w:p>
        </w:tc>
        <w:tc>
          <w:tcPr>
            <w:tcW w:w="271" w:type="pct"/>
            <w:tcBorders>
              <w:top w:val="nil"/>
              <w:left w:val="nil"/>
              <w:bottom w:val="single" w:sz="4" w:space="0" w:color="auto"/>
              <w:right w:val="single" w:sz="4" w:space="0" w:color="auto"/>
            </w:tcBorders>
            <w:shd w:val="clear" w:color="000000" w:fill="CCFFFF"/>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D1</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C1</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r>
      <w:tr w:rsidR="00C064DD" w:rsidRPr="0029310E" w:rsidTr="00FA7B2C">
        <w:trPr>
          <w:trHeight w:val="525"/>
        </w:trPr>
        <w:tc>
          <w:tcPr>
            <w:tcW w:w="742"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qualifica (economico)</w:t>
            </w:r>
          </w:p>
        </w:tc>
        <w:tc>
          <w:tcPr>
            <w:tcW w:w="590" w:type="pct"/>
            <w:tcBorders>
              <w:top w:val="nil"/>
              <w:left w:val="nil"/>
              <w:bottom w:val="nil"/>
              <w:right w:val="nil"/>
            </w:tcBorders>
            <w:vAlign w:val="bottom"/>
          </w:tcPr>
          <w:p w:rsidR="00C064DD" w:rsidRPr="0029310E" w:rsidRDefault="00C064DD" w:rsidP="00A17D1F">
            <w:pPr>
              <w:spacing w:after="0" w:line="240" w:lineRule="auto"/>
              <w:jc w:val="center"/>
              <w:rPr>
                <w:rFonts w:cs="Calibri"/>
                <w:color w:val="000000"/>
                <w:sz w:val="16"/>
                <w:szCs w:val="16"/>
                <w:lang w:eastAsia="it-IT"/>
              </w:rPr>
            </w:pPr>
          </w:p>
        </w:tc>
        <w:tc>
          <w:tcPr>
            <w:tcW w:w="328" w:type="pct"/>
            <w:tcBorders>
              <w:top w:val="nil"/>
              <w:left w:val="single" w:sz="4" w:space="0" w:color="auto"/>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D4  P.T. 50%</w:t>
            </w:r>
          </w:p>
        </w:tc>
        <w:tc>
          <w:tcPr>
            <w:tcW w:w="184"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D3</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B5</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B7</w:t>
            </w:r>
          </w:p>
        </w:tc>
        <w:tc>
          <w:tcPr>
            <w:tcW w:w="184"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D3</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C5</w:t>
            </w:r>
          </w:p>
        </w:tc>
        <w:tc>
          <w:tcPr>
            <w:tcW w:w="185" w:type="pct"/>
            <w:tcBorders>
              <w:top w:val="nil"/>
              <w:left w:val="nil"/>
              <w:bottom w:val="single" w:sz="4" w:space="0" w:color="auto"/>
              <w:right w:val="single" w:sz="4" w:space="0" w:color="auto"/>
            </w:tcBorders>
            <w:shd w:val="clear" w:color="000000" w:fill="CCFFFF"/>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C2</w:t>
            </w:r>
          </w:p>
        </w:tc>
        <w:tc>
          <w:tcPr>
            <w:tcW w:w="271" w:type="pct"/>
            <w:tcBorders>
              <w:top w:val="nil"/>
              <w:left w:val="nil"/>
              <w:bottom w:val="single" w:sz="4" w:space="0" w:color="auto"/>
              <w:right w:val="single" w:sz="4" w:space="0" w:color="auto"/>
            </w:tcBorders>
            <w:shd w:val="clear" w:color="000000" w:fill="CCFFFF"/>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D1</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C1 P.T. 50%</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271"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B3</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r>
      <w:tr w:rsidR="00C064DD" w:rsidRPr="0029310E" w:rsidTr="00FA7B2C">
        <w:trPr>
          <w:trHeight w:val="1336"/>
        </w:trPr>
        <w:tc>
          <w:tcPr>
            <w:tcW w:w="742"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profilo</w:t>
            </w:r>
          </w:p>
        </w:tc>
        <w:tc>
          <w:tcPr>
            <w:tcW w:w="590" w:type="pct"/>
            <w:tcBorders>
              <w:top w:val="nil"/>
              <w:left w:val="nil"/>
              <w:bottom w:val="nil"/>
              <w:right w:val="nil"/>
            </w:tcBorders>
            <w:vAlign w:val="bottom"/>
          </w:tcPr>
          <w:p w:rsidR="00C064DD" w:rsidRPr="0029310E" w:rsidRDefault="00C064DD" w:rsidP="00A17D1F">
            <w:pPr>
              <w:spacing w:after="0" w:line="240" w:lineRule="auto"/>
              <w:jc w:val="center"/>
              <w:rPr>
                <w:rFonts w:cs="Calibri"/>
                <w:color w:val="000000"/>
                <w:sz w:val="16"/>
                <w:szCs w:val="16"/>
                <w:lang w:eastAsia="it-IT"/>
              </w:rPr>
            </w:pPr>
          </w:p>
        </w:tc>
        <w:tc>
          <w:tcPr>
            <w:tcW w:w="328" w:type="pct"/>
            <w:tcBorders>
              <w:top w:val="nil"/>
              <w:left w:val="single" w:sz="4" w:space="0" w:color="auto"/>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ISTRUTTORE DIRETTIVO </w:t>
            </w:r>
            <w:r w:rsidRPr="0029310E">
              <w:rPr>
                <w:rFonts w:cs="Calibri"/>
                <w:color w:val="000000"/>
                <w:sz w:val="16"/>
                <w:szCs w:val="16"/>
                <w:lang w:eastAsia="it-IT"/>
              </w:rPr>
              <w:br/>
              <w:t>TECNICO</w:t>
            </w:r>
          </w:p>
        </w:tc>
        <w:tc>
          <w:tcPr>
            <w:tcW w:w="184"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ISTRUTTORE DIRETTIVO VIGILANZA</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Collaboratore tecnico</w:t>
            </w:r>
            <w:r w:rsidRPr="0029310E">
              <w:rPr>
                <w:rFonts w:cs="Calibri"/>
                <w:color w:val="000000"/>
                <w:sz w:val="16"/>
                <w:szCs w:val="16"/>
                <w:lang w:eastAsia="it-IT"/>
              </w:rPr>
              <w:br/>
              <w:t xml:space="preserve"> autista operaio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Collaboratore tecnico</w:t>
            </w:r>
            <w:r w:rsidRPr="0029310E">
              <w:rPr>
                <w:rFonts w:cs="Calibri"/>
                <w:color w:val="000000"/>
                <w:sz w:val="16"/>
                <w:szCs w:val="16"/>
                <w:lang w:eastAsia="it-IT"/>
              </w:rPr>
              <w:br/>
              <w:t xml:space="preserve"> autista operaio</w:t>
            </w:r>
          </w:p>
        </w:tc>
        <w:tc>
          <w:tcPr>
            <w:tcW w:w="184" w:type="pct"/>
            <w:tcBorders>
              <w:top w:val="nil"/>
              <w:left w:val="nil"/>
              <w:bottom w:val="single" w:sz="4" w:space="0" w:color="auto"/>
              <w:right w:val="single" w:sz="4" w:space="0" w:color="auto"/>
            </w:tcBorders>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collaboratore tecnico amministrativo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ISTRUTTORE DIRETTIVO </w:t>
            </w:r>
            <w:r w:rsidRPr="0029310E">
              <w:rPr>
                <w:rFonts w:cs="Calibri"/>
                <w:color w:val="000000"/>
                <w:sz w:val="16"/>
                <w:szCs w:val="16"/>
                <w:lang w:eastAsia="it-IT"/>
              </w:rPr>
              <w:br/>
              <w:t>FINANZIARIO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ISTRUTTORE </w:t>
            </w:r>
            <w:r w:rsidRPr="0029310E">
              <w:rPr>
                <w:rFonts w:cs="Calibri"/>
                <w:color w:val="000000"/>
                <w:sz w:val="16"/>
                <w:szCs w:val="16"/>
                <w:lang w:eastAsia="it-IT"/>
              </w:rPr>
              <w:br/>
              <w:t>AMMINISTRATIVO</w:t>
            </w:r>
          </w:p>
        </w:tc>
        <w:tc>
          <w:tcPr>
            <w:tcW w:w="185" w:type="pct"/>
            <w:tcBorders>
              <w:top w:val="nil"/>
              <w:left w:val="nil"/>
              <w:bottom w:val="single" w:sz="4" w:space="0" w:color="auto"/>
              <w:right w:val="single" w:sz="4" w:space="0" w:color="auto"/>
            </w:tcBorders>
            <w:shd w:val="clear" w:color="000000" w:fill="CCFFFF"/>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TECNICO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istruttore amministrativo </w:t>
            </w:r>
            <w:r w:rsidRPr="0029310E">
              <w:rPr>
                <w:rFonts w:cs="Calibri"/>
                <w:color w:val="000000"/>
                <w:sz w:val="16"/>
                <w:szCs w:val="16"/>
                <w:lang w:eastAsia="it-IT"/>
              </w:rPr>
              <w:br/>
              <w:t>autista operaio messo</w:t>
            </w:r>
          </w:p>
        </w:tc>
        <w:tc>
          <w:tcPr>
            <w:tcW w:w="271" w:type="pct"/>
            <w:tcBorders>
              <w:top w:val="nil"/>
              <w:left w:val="nil"/>
              <w:bottom w:val="single" w:sz="4" w:space="0" w:color="auto"/>
              <w:right w:val="single" w:sz="4" w:space="0" w:color="auto"/>
            </w:tcBorders>
            <w:shd w:val="clear" w:color="000000" w:fill="CCFFFF"/>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ISTRUTTORE DIRETTIVO </w:t>
            </w:r>
            <w:r w:rsidRPr="0029310E">
              <w:rPr>
                <w:rFonts w:cs="Calibri"/>
                <w:color w:val="000000"/>
                <w:sz w:val="16"/>
                <w:szCs w:val="16"/>
                <w:lang w:eastAsia="it-IT"/>
              </w:rPr>
              <w:br/>
              <w:t>TECNICO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ISTRUTTORE DIRETTIVO</w:t>
            </w:r>
            <w:r w:rsidRPr="0029310E">
              <w:rPr>
                <w:rFonts w:cs="Calibri"/>
                <w:color w:val="000000"/>
                <w:sz w:val="16"/>
                <w:szCs w:val="16"/>
                <w:lang w:eastAsia="it-IT"/>
              </w:rPr>
              <w:br/>
              <w:t>FINANZIARIO - TRIBUTI</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ISTRUTTORE </w:t>
            </w:r>
            <w:r w:rsidRPr="0029310E">
              <w:rPr>
                <w:rFonts w:cs="Calibri"/>
                <w:color w:val="000000"/>
                <w:sz w:val="16"/>
                <w:szCs w:val="16"/>
                <w:lang w:eastAsia="it-IT"/>
              </w:rPr>
              <w:br/>
              <w:t>AMMINISTRATIVO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Collaboratore amministrativo </w:t>
            </w:r>
            <w:r w:rsidRPr="0029310E">
              <w:rPr>
                <w:rFonts w:cs="Calibri"/>
                <w:color w:val="000000"/>
                <w:sz w:val="16"/>
                <w:szCs w:val="16"/>
                <w:lang w:eastAsia="it-IT"/>
              </w:rPr>
              <w:br/>
              <w:t>autista operaio messo</w:t>
            </w:r>
          </w:p>
        </w:tc>
        <w:tc>
          <w:tcPr>
            <w:tcW w:w="271" w:type="pct"/>
            <w:tcBorders>
              <w:top w:val="nil"/>
              <w:left w:val="nil"/>
              <w:bottom w:val="single" w:sz="4" w:space="0" w:color="auto"/>
              <w:right w:val="single" w:sz="4" w:space="0" w:color="auto"/>
            </w:tcBorders>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Collaboratore amministrativo </w:t>
            </w:r>
            <w:r w:rsidRPr="0029310E">
              <w:rPr>
                <w:rFonts w:cs="Calibri"/>
                <w:color w:val="000000"/>
                <w:sz w:val="16"/>
                <w:szCs w:val="16"/>
                <w:lang w:eastAsia="it-IT"/>
              </w:rPr>
              <w:br/>
              <w:t xml:space="preserve"> autista operaio messo</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r>
      <w:tr w:rsidR="00C064DD" w:rsidRPr="0029310E" w:rsidTr="00FA7B2C">
        <w:trPr>
          <w:trHeight w:val="1115"/>
        </w:trPr>
        <w:tc>
          <w:tcPr>
            <w:tcW w:w="742"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provenienza</w:t>
            </w:r>
          </w:p>
        </w:tc>
        <w:tc>
          <w:tcPr>
            <w:tcW w:w="590" w:type="pct"/>
            <w:tcBorders>
              <w:top w:val="nil"/>
              <w:left w:val="nil"/>
              <w:bottom w:val="nil"/>
              <w:right w:val="nil"/>
            </w:tcBorders>
            <w:vAlign w:val="bottom"/>
          </w:tcPr>
          <w:p w:rsidR="00C064DD" w:rsidRPr="0029310E" w:rsidRDefault="00C064DD" w:rsidP="00A17D1F">
            <w:pPr>
              <w:spacing w:after="0" w:line="240" w:lineRule="auto"/>
              <w:jc w:val="center"/>
              <w:rPr>
                <w:rFonts w:cs="Calibri"/>
                <w:color w:val="000000"/>
                <w:sz w:val="16"/>
                <w:szCs w:val="16"/>
                <w:lang w:eastAsia="it-IT"/>
              </w:rPr>
            </w:pPr>
          </w:p>
        </w:tc>
        <w:tc>
          <w:tcPr>
            <w:tcW w:w="328" w:type="pct"/>
            <w:tcBorders>
              <w:top w:val="nil"/>
              <w:left w:val="single" w:sz="4" w:space="0" w:color="auto"/>
              <w:bottom w:val="single" w:sz="4" w:space="0" w:color="auto"/>
              <w:right w:val="single" w:sz="4" w:space="0" w:color="auto"/>
            </w:tcBorders>
            <w:shd w:val="clear" w:color="000000" w:fill="FFFF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 PRIOLO</w:t>
            </w:r>
          </w:p>
        </w:tc>
        <w:tc>
          <w:tcPr>
            <w:tcW w:w="184" w:type="pct"/>
            <w:tcBorders>
              <w:top w:val="nil"/>
              <w:left w:val="nil"/>
              <w:bottom w:val="single" w:sz="4" w:space="0" w:color="auto"/>
              <w:right w:val="single" w:sz="4" w:space="0" w:color="auto"/>
            </w:tcBorders>
            <w:shd w:val="clear" w:color="000000" w:fill="FFFF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 PRIOLO</w:t>
            </w:r>
          </w:p>
        </w:tc>
        <w:tc>
          <w:tcPr>
            <w:tcW w:w="271" w:type="pct"/>
            <w:tcBorders>
              <w:top w:val="nil"/>
              <w:left w:val="nil"/>
              <w:bottom w:val="single" w:sz="4" w:space="0" w:color="auto"/>
              <w:right w:val="single" w:sz="4" w:space="0" w:color="auto"/>
            </w:tcBorders>
            <w:shd w:val="clear" w:color="000000" w:fill="FFFF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 PRIOLO</w:t>
            </w:r>
          </w:p>
        </w:tc>
        <w:tc>
          <w:tcPr>
            <w:tcW w:w="271" w:type="pct"/>
            <w:tcBorders>
              <w:top w:val="nil"/>
              <w:left w:val="nil"/>
              <w:bottom w:val="single" w:sz="4" w:space="0" w:color="auto"/>
              <w:right w:val="single" w:sz="4" w:space="0" w:color="auto"/>
            </w:tcBorders>
            <w:shd w:val="clear" w:color="000000" w:fill="FFFF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 PRIOLO</w:t>
            </w:r>
          </w:p>
        </w:tc>
        <w:tc>
          <w:tcPr>
            <w:tcW w:w="184" w:type="pct"/>
            <w:tcBorders>
              <w:top w:val="nil"/>
              <w:left w:val="nil"/>
              <w:bottom w:val="single" w:sz="4" w:space="0" w:color="auto"/>
              <w:right w:val="single" w:sz="4" w:space="0" w:color="auto"/>
            </w:tcBorders>
            <w:shd w:val="clear" w:color="000000" w:fill="FFFF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 PRIOLO</w:t>
            </w:r>
          </w:p>
        </w:tc>
        <w:tc>
          <w:tcPr>
            <w:tcW w:w="271" w:type="pct"/>
            <w:tcBorders>
              <w:top w:val="nil"/>
              <w:left w:val="nil"/>
              <w:bottom w:val="single" w:sz="4" w:space="0" w:color="auto"/>
              <w:right w:val="single" w:sz="4" w:space="0" w:color="auto"/>
            </w:tcBorders>
            <w:shd w:val="clear" w:color="000000" w:fill="99CC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BORGORATTO MLO</w:t>
            </w:r>
          </w:p>
        </w:tc>
        <w:tc>
          <w:tcPr>
            <w:tcW w:w="271" w:type="pct"/>
            <w:tcBorders>
              <w:top w:val="nil"/>
              <w:left w:val="nil"/>
              <w:bottom w:val="single" w:sz="4" w:space="0" w:color="auto"/>
              <w:right w:val="single" w:sz="4" w:space="0" w:color="auto"/>
            </w:tcBorders>
            <w:shd w:val="clear" w:color="000000" w:fill="99CC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BORGORATTO MLO</w:t>
            </w:r>
          </w:p>
        </w:tc>
        <w:tc>
          <w:tcPr>
            <w:tcW w:w="185" w:type="pct"/>
            <w:tcBorders>
              <w:top w:val="nil"/>
              <w:left w:val="nil"/>
              <w:bottom w:val="single" w:sz="4" w:space="0" w:color="auto"/>
              <w:right w:val="single" w:sz="4" w:space="0" w:color="auto"/>
            </w:tcBorders>
            <w:shd w:val="clear" w:color="000000" w:fill="CCFFFF"/>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 xml:space="preserve">Collab . Prof </w:t>
            </w:r>
          </w:p>
        </w:tc>
        <w:tc>
          <w:tcPr>
            <w:tcW w:w="271" w:type="pct"/>
            <w:tcBorders>
              <w:top w:val="nil"/>
              <w:left w:val="nil"/>
              <w:bottom w:val="single" w:sz="4" w:space="0" w:color="auto"/>
              <w:right w:val="single" w:sz="4" w:space="0" w:color="auto"/>
            </w:tcBorders>
            <w:shd w:val="clear" w:color="000000" w:fill="99CC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BORGORATTO MLO</w:t>
            </w:r>
          </w:p>
        </w:tc>
        <w:tc>
          <w:tcPr>
            <w:tcW w:w="271" w:type="pct"/>
            <w:tcBorders>
              <w:top w:val="nil"/>
              <w:left w:val="nil"/>
              <w:bottom w:val="single" w:sz="4" w:space="0" w:color="auto"/>
              <w:right w:val="single" w:sz="4" w:space="0" w:color="auto"/>
            </w:tcBorders>
            <w:shd w:val="clear" w:color="000000" w:fill="CCFFFF"/>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legge 311/2004   art. 1 co 557</w:t>
            </w:r>
          </w:p>
        </w:tc>
        <w:tc>
          <w:tcPr>
            <w:tcW w:w="271" w:type="pct"/>
            <w:tcBorders>
              <w:top w:val="nil"/>
              <w:left w:val="nil"/>
              <w:bottom w:val="single" w:sz="4" w:space="0" w:color="auto"/>
              <w:right w:val="single" w:sz="4" w:space="0" w:color="auto"/>
            </w:tcBorders>
            <w:shd w:val="clear" w:color="000000" w:fill="FFCC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MONTESEGALE</w:t>
            </w:r>
          </w:p>
        </w:tc>
        <w:tc>
          <w:tcPr>
            <w:tcW w:w="271" w:type="pct"/>
            <w:tcBorders>
              <w:top w:val="nil"/>
              <w:left w:val="nil"/>
              <w:bottom w:val="single" w:sz="4" w:space="0" w:color="auto"/>
              <w:right w:val="single" w:sz="4" w:space="0" w:color="auto"/>
            </w:tcBorders>
            <w:shd w:val="clear" w:color="000000" w:fill="FFCC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MONTESEGALE</w:t>
            </w:r>
          </w:p>
        </w:tc>
        <w:tc>
          <w:tcPr>
            <w:tcW w:w="271" w:type="pct"/>
            <w:tcBorders>
              <w:top w:val="nil"/>
              <w:left w:val="nil"/>
              <w:bottom w:val="single" w:sz="4" w:space="0" w:color="auto"/>
              <w:right w:val="single" w:sz="4" w:space="0" w:color="auto"/>
            </w:tcBorders>
            <w:shd w:val="clear" w:color="000000" w:fill="FFCC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MONTESEGALE</w:t>
            </w:r>
          </w:p>
        </w:tc>
        <w:tc>
          <w:tcPr>
            <w:tcW w:w="271" w:type="pct"/>
            <w:tcBorders>
              <w:top w:val="nil"/>
              <w:left w:val="nil"/>
              <w:bottom w:val="single" w:sz="4" w:space="0" w:color="auto"/>
              <w:right w:val="single" w:sz="4" w:space="0" w:color="auto"/>
            </w:tcBorders>
            <w:shd w:val="clear" w:color="000000" w:fill="008000"/>
            <w:noWrap/>
            <w:textDirection w:val="btLr"/>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ROCCA SUSELLA</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r>
      <w:tr w:rsidR="00C064DD" w:rsidRPr="0029310E" w:rsidTr="00FA7B2C">
        <w:trPr>
          <w:trHeight w:val="489"/>
        </w:trPr>
        <w:tc>
          <w:tcPr>
            <w:tcW w:w="742"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lastRenderedPageBreak/>
              <w:t>responsabilità</w:t>
            </w:r>
          </w:p>
        </w:tc>
        <w:tc>
          <w:tcPr>
            <w:tcW w:w="590"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p>
        </w:tc>
        <w:tc>
          <w:tcPr>
            <w:tcW w:w="328" w:type="pct"/>
            <w:tcBorders>
              <w:top w:val="nil"/>
              <w:left w:val="single" w:sz="4" w:space="0" w:color="auto"/>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x</w:t>
            </w:r>
          </w:p>
        </w:tc>
        <w:tc>
          <w:tcPr>
            <w:tcW w:w="184"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x</w:t>
            </w:r>
          </w:p>
        </w:tc>
        <w:tc>
          <w:tcPr>
            <w:tcW w:w="271"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99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99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99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x</w:t>
            </w:r>
          </w:p>
        </w:tc>
        <w:tc>
          <w:tcPr>
            <w:tcW w:w="271" w:type="pct"/>
            <w:tcBorders>
              <w:top w:val="nil"/>
              <w:left w:val="nil"/>
              <w:bottom w:val="single" w:sz="4" w:space="0" w:color="auto"/>
              <w:right w:val="single" w:sz="4" w:space="0" w:color="auto"/>
            </w:tcBorders>
            <w:shd w:val="clear" w:color="000000" w:fill="FF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x</w:t>
            </w:r>
          </w:p>
        </w:tc>
        <w:tc>
          <w:tcPr>
            <w:tcW w:w="271" w:type="pct"/>
            <w:tcBorders>
              <w:top w:val="nil"/>
              <w:left w:val="nil"/>
              <w:bottom w:val="single" w:sz="4" w:space="0" w:color="auto"/>
              <w:right w:val="single" w:sz="4" w:space="0" w:color="auto"/>
            </w:tcBorders>
            <w:shd w:val="clear" w:color="000000" w:fill="FF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FF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0080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center"/>
          </w:tcPr>
          <w:p w:rsidR="00C064DD" w:rsidRPr="0029310E" w:rsidRDefault="00C064DD" w:rsidP="00A17D1F">
            <w:pPr>
              <w:spacing w:after="0" w:line="240" w:lineRule="auto"/>
              <w:jc w:val="center"/>
              <w:rPr>
                <w:rFonts w:cs="Calibri"/>
                <w:color w:val="000000"/>
                <w:sz w:val="16"/>
                <w:szCs w:val="16"/>
                <w:lang w:eastAsia="it-IT"/>
              </w:rPr>
            </w:pPr>
          </w:p>
        </w:tc>
      </w:tr>
      <w:tr w:rsidR="00C064DD" w:rsidRPr="0029310E" w:rsidTr="00FA7B2C">
        <w:trPr>
          <w:trHeight w:val="567"/>
        </w:trPr>
        <w:tc>
          <w:tcPr>
            <w:tcW w:w="742"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TEMPO DI LAVORO</w:t>
            </w:r>
          </w:p>
        </w:tc>
        <w:tc>
          <w:tcPr>
            <w:tcW w:w="590" w:type="pct"/>
            <w:tcBorders>
              <w:top w:val="nil"/>
              <w:left w:val="nil"/>
              <w:bottom w:val="nil"/>
              <w:right w:val="nil"/>
            </w:tcBorders>
            <w:vAlign w:val="center"/>
          </w:tcPr>
          <w:p w:rsidR="00C064DD" w:rsidRPr="0029310E" w:rsidRDefault="00C064DD" w:rsidP="00A17D1F">
            <w:pPr>
              <w:spacing w:after="0" w:line="240" w:lineRule="auto"/>
              <w:jc w:val="center"/>
              <w:rPr>
                <w:rFonts w:cs="Calibri"/>
                <w:color w:val="000000"/>
                <w:sz w:val="16"/>
                <w:szCs w:val="16"/>
                <w:lang w:eastAsia="it-IT"/>
              </w:rPr>
            </w:pPr>
          </w:p>
        </w:tc>
        <w:tc>
          <w:tcPr>
            <w:tcW w:w="328" w:type="pct"/>
            <w:tcBorders>
              <w:top w:val="nil"/>
              <w:left w:val="single" w:sz="4" w:space="0" w:color="auto"/>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18</w:t>
            </w:r>
          </w:p>
        </w:tc>
        <w:tc>
          <w:tcPr>
            <w:tcW w:w="184"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184" w:type="pct"/>
            <w:tcBorders>
              <w:top w:val="nil"/>
              <w:left w:val="nil"/>
              <w:bottom w:val="single" w:sz="4" w:space="0" w:color="auto"/>
              <w:right w:val="single" w:sz="4" w:space="0" w:color="auto"/>
            </w:tcBorders>
            <w:shd w:val="clear" w:color="000000" w:fill="FFFF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99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99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185" w:type="pct"/>
            <w:tcBorders>
              <w:top w:val="nil"/>
              <w:left w:val="nil"/>
              <w:bottom w:val="single" w:sz="4" w:space="0" w:color="auto"/>
              <w:right w:val="single" w:sz="4" w:space="0" w:color="auto"/>
            </w:tcBorders>
            <w:shd w:val="clear" w:color="000000" w:fill="CCFFFF"/>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99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CCFFFF"/>
            <w:textDirection w:val="btLr"/>
            <w:vAlign w:val="center"/>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FF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FF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18</w:t>
            </w:r>
          </w:p>
        </w:tc>
        <w:tc>
          <w:tcPr>
            <w:tcW w:w="271" w:type="pct"/>
            <w:tcBorders>
              <w:top w:val="nil"/>
              <w:left w:val="nil"/>
              <w:bottom w:val="single" w:sz="4" w:space="0" w:color="auto"/>
              <w:right w:val="single" w:sz="4" w:space="0" w:color="auto"/>
            </w:tcBorders>
            <w:shd w:val="clear" w:color="000000" w:fill="FFCC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271" w:type="pct"/>
            <w:tcBorders>
              <w:top w:val="nil"/>
              <w:left w:val="nil"/>
              <w:bottom w:val="single" w:sz="4" w:space="0" w:color="auto"/>
              <w:right w:val="single" w:sz="4" w:space="0" w:color="auto"/>
            </w:tcBorders>
            <w:shd w:val="clear" w:color="000000" w:fill="008000"/>
            <w:noWrap/>
            <w:textDirection w:val="btLr"/>
            <w:vAlign w:val="center"/>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36</w:t>
            </w:r>
          </w:p>
        </w:tc>
        <w:tc>
          <w:tcPr>
            <w:tcW w:w="77" w:type="pct"/>
            <w:tcBorders>
              <w:top w:val="nil"/>
              <w:left w:val="nil"/>
              <w:bottom w:val="nil"/>
              <w:right w:val="nil"/>
            </w:tcBorders>
            <w:noWrap/>
            <w:vAlign w:val="center"/>
          </w:tcPr>
          <w:p w:rsidR="00C064DD" w:rsidRPr="0029310E" w:rsidRDefault="00C064DD" w:rsidP="00A17D1F">
            <w:pPr>
              <w:spacing w:after="0" w:line="240" w:lineRule="auto"/>
              <w:jc w:val="center"/>
              <w:rPr>
                <w:rFonts w:cs="Calibri"/>
                <w:color w:val="000000"/>
                <w:sz w:val="16"/>
                <w:szCs w:val="16"/>
                <w:lang w:eastAsia="it-IT"/>
              </w:rPr>
            </w:pPr>
          </w:p>
        </w:tc>
      </w:tr>
      <w:tr w:rsidR="00C064DD" w:rsidRPr="0029310E" w:rsidTr="00FA7B2C">
        <w:trPr>
          <w:trHeight w:val="638"/>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FUNZIONE E PROGRAMMI COLLEGATI</w:t>
            </w:r>
          </w:p>
        </w:tc>
        <w:tc>
          <w:tcPr>
            <w:tcW w:w="590" w:type="pct"/>
            <w:tcBorders>
              <w:top w:val="nil"/>
              <w:left w:val="nil"/>
              <w:bottom w:val="nil"/>
              <w:right w:val="nil"/>
            </w:tcBorders>
            <w:vAlign w:val="bottom"/>
          </w:tcPr>
          <w:p w:rsidR="00C064DD" w:rsidRPr="0029310E" w:rsidRDefault="00C064DD" w:rsidP="00A17D1F">
            <w:pPr>
              <w:spacing w:after="0" w:line="240" w:lineRule="auto"/>
              <w:rPr>
                <w:rFonts w:cs="Calibri"/>
                <w:color w:val="000000"/>
                <w:sz w:val="16"/>
                <w:szCs w:val="16"/>
                <w:lang w:eastAsia="it-IT"/>
              </w:rPr>
            </w:pPr>
          </w:p>
        </w:tc>
        <w:tc>
          <w:tcPr>
            <w:tcW w:w="328"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5"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sz w:val="16"/>
                <w:szCs w:val="16"/>
                <w:lang w:eastAsia="it-IT"/>
              </w:rPr>
            </w:pPr>
          </w:p>
        </w:tc>
      </w:tr>
      <w:tr w:rsidR="00C064DD" w:rsidRPr="0029310E" w:rsidTr="00FA7B2C">
        <w:trPr>
          <w:trHeight w:val="557"/>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Servizio Affari Generali</w:t>
            </w:r>
          </w:p>
        </w:tc>
        <w:tc>
          <w:tcPr>
            <w:tcW w:w="590" w:type="pct"/>
            <w:tcBorders>
              <w:top w:val="single" w:sz="4" w:space="0" w:color="auto"/>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affari generali (organi, contratti, controlli)</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638"/>
        </w:trPr>
        <w:tc>
          <w:tcPr>
            <w:tcW w:w="742"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Servizio Organizzazione e Personale</w:t>
            </w:r>
          </w:p>
        </w:tc>
        <w:tc>
          <w:tcPr>
            <w:tcW w:w="590" w:type="pct"/>
            <w:tcBorders>
              <w:top w:val="nil"/>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gestione personale e organizzazione</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815"/>
        </w:trPr>
        <w:tc>
          <w:tcPr>
            <w:tcW w:w="742" w:type="pct"/>
            <w:tcBorders>
              <w:top w:val="nil"/>
              <w:left w:val="single" w:sz="4" w:space="0" w:color="auto"/>
              <w:bottom w:val="single" w:sz="4" w:space="0" w:color="auto"/>
              <w:right w:val="nil"/>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A) Organizzazione generale dell’amministrazione, gestione finanziaria e contabile e controllo</w:t>
            </w: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Gestione economica, finanziaria, programmazione, provveditorato</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Gestione delle entrate tributarie e servizi fiscali</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40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Gestione dei beni demaniali e patrimoniali</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Ufficio tecnico</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12,5</w:t>
            </w: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50</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right"/>
              <w:rPr>
                <w:rFonts w:cs="Calibri"/>
                <w:color w:val="000000"/>
                <w:sz w:val="16"/>
                <w:szCs w:val="16"/>
                <w:lang w:eastAsia="it-IT"/>
              </w:rPr>
            </w:pPr>
          </w:p>
        </w:tc>
      </w:tr>
      <w:tr w:rsidR="00C064DD" w:rsidRPr="0029310E" w:rsidTr="00FA7B2C">
        <w:trPr>
          <w:trHeight w:val="1018"/>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B) Organizzazione dei servizi pubblici di interesse generale di ambito comunale, ivi compresi i servizi di trasporto pubblico comunale</w:t>
            </w:r>
          </w:p>
        </w:tc>
        <w:tc>
          <w:tcPr>
            <w:tcW w:w="590" w:type="pct"/>
            <w:tcBorders>
              <w:top w:val="nil"/>
              <w:left w:val="nil"/>
              <w:bottom w:val="single" w:sz="4" w:space="0" w:color="auto"/>
              <w:right w:val="nil"/>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Tutela, valorizzazione e recupero ambientale</w:t>
            </w:r>
          </w:p>
        </w:tc>
        <w:tc>
          <w:tcPr>
            <w:tcW w:w="328" w:type="pct"/>
            <w:tcBorders>
              <w:top w:val="nil"/>
              <w:left w:val="single" w:sz="4" w:space="0" w:color="auto"/>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right"/>
              <w:rPr>
                <w:rFonts w:cs="Calibri"/>
                <w:color w:val="000000"/>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Viabilità e infrastrutture stradali</w:t>
            </w:r>
          </w:p>
        </w:tc>
        <w:tc>
          <w:tcPr>
            <w:tcW w:w="328"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50</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271"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38,5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38,5</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right"/>
              <w:rPr>
                <w:rFonts w:cs="Calibri"/>
                <w:color w:val="000000"/>
                <w:sz w:val="16"/>
                <w:szCs w:val="16"/>
                <w:lang w:eastAsia="it-IT"/>
              </w:rPr>
            </w:pPr>
          </w:p>
        </w:tc>
      </w:tr>
      <w:tr w:rsidR="00C064DD" w:rsidRPr="0029310E" w:rsidTr="00FA7B2C">
        <w:trPr>
          <w:trHeight w:val="645"/>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C) Catasto, ad eccezione delle funzioni mantenute allo Stato dalla normativa vigente</w:t>
            </w:r>
          </w:p>
        </w:tc>
        <w:tc>
          <w:tcPr>
            <w:tcW w:w="590" w:type="pct"/>
            <w:tcBorders>
              <w:top w:val="nil"/>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 </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994"/>
        </w:trPr>
        <w:tc>
          <w:tcPr>
            <w:tcW w:w="742"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D) Pianificazione urbanistica ed edilizia di ambito comunale nonché la partecipazione alla pianificazione territoriale di livello sovracomunale</w:t>
            </w:r>
          </w:p>
        </w:tc>
        <w:tc>
          <w:tcPr>
            <w:tcW w:w="590" w:type="pct"/>
            <w:tcBorders>
              <w:top w:val="nil"/>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Urbanistica assetto del territorio</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7,5</w:t>
            </w: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1,5</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right"/>
              <w:rPr>
                <w:rFonts w:cs="Calibri"/>
                <w:color w:val="000000"/>
                <w:sz w:val="16"/>
                <w:szCs w:val="16"/>
                <w:lang w:eastAsia="it-IT"/>
              </w:rPr>
            </w:pPr>
          </w:p>
        </w:tc>
      </w:tr>
      <w:tr w:rsidR="00C064DD" w:rsidRPr="0029310E" w:rsidTr="00FA7B2C">
        <w:trPr>
          <w:trHeight w:val="900"/>
        </w:trPr>
        <w:tc>
          <w:tcPr>
            <w:tcW w:w="742" w:type="pct"/>
            <w:tcBorders>
              <w:top w:val="nil"/>
              <w:left w:val="nil"/>
              <w:bottom w:val="nil"/>
              <w:right w:val="nil"/>
            </w:tcBorders>
            <w:vAlign w:val="bottom"/>
          </w:tcPr>
          <w:p w:rsidR="00C064DD" w:rsidRPr="0029310E" w:rsidRDefault="00C064DD" w:rsidP="00A17D1F">
            <w:pPr>
              <w:spacing w:after="0" w:line="240" w:lineRule="auto"/>
              <w:jc w:val="right"/>
              <w:rPr>
                <w:rFonts w:cs="Calibri"/>
                <w:color w:val="000000"/>
                <w:sz w:val="16"/>
                <w:szCs w:val="16"/>
                <w:lang w:eastAsia="it-IT"/>
              </w:rPr>
            </w:pPr>
            <w:r w:rsidRPr="0029310E">
              <w:rPr>
                <w:rFonts w:cs="Calibri"/>
                <w:color w:val="000000"/>
                <w:sz w:val="16"/>
                <w:szCs w:val="16"/>
                <w:lang w:eastAsia="it-IT"/>
              </w:rPr>
              <w:t>0</w:t>
            </w:r>
          </w:p>
        </w:tc>
        <w:tc>
          <w:tcPr>
            <w:tcW w:w="590" w:type="pct"/>
            <w:tcBorders>
              <w:top w:val="nil"/>
              <w:left w:val="single" w:sz="4" w:space="0" w:color="auto"/>
              <w:bottom w:val="nil"/>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Edilizia residenziale pubblica e locale e piani di edilizia economico-popolare</w:t>
            </w:r>
          </w:p>
        </w:tc>
        <w:tc>
          <w:tcPr>
            <w:tcW w:w="328"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870"/>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E) Attività, in ambito comunale, di pianificazione di protezione civile e di coordinamento dei primi soccorsi</w:t>
            </w:r>
          </w:p>
        </w:tc>
        <w:tc>
          <w:tcPr>
            <w:tcW w:w="590" w:type="pct"/>
            <w:tcBorders>
              <w:top w:val="single" w:sz="4" w:space="0" w:color="auto"/>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Sistema di protezione civile</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4</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right"/>
              <w:rPr>
                <w:rFonts w:cs="Calibri"/>
                <w:color w:val="000000"/>
                <w:sz w:val="16"/>
                <w:szCs w:val="16"/>
                <w:lang w:eastAsia="it-IT"/>
              </w:rPr>
            </w:pPr>
          </w:p>
        </w:tc>
      </w:tr>
      <w:tr w:rsidR="00C064DD" w:rsidRPr="0029310E" w:rsidTr="00FA7B2C">
        <w:trPr>
          <w:trHeight w:val="1041"/>
        </w:trPr>
        <w:tc>
          <w:tcPr>
            <w:tcW w:w="742"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 xml:space="preserve">F) Organizzazione e gestione dei servizi di raccolta, avvio e smaltimento e recupero dei rifiuti </w:t>
            </w:r>
            <w:r w:rsidRPr="0029310E">
              <w:rPr>
                <w:rFonts w:cs="Calibri"/>
                <w:color w:val="000000"/>
                <w:sz w:val="16"/>
                <w:szCs w:val="16"/>
                <w:lang w:eastAsia="it-IT"/>
              </w:rPr>
              <w:lastRenderedPageBreak/>
              <w:t>urbani e la riscossione dei relativi tributi;</w:t>
            </w:r>
          </w:p>
        </w:tc>
        <w:tc>
          <w:tcPr>
            <w:tcW w:w="590" w:type="pct"/>
            <w:tcBorders>
              <w:top w:val="nil"/>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lastRenderedPageBreak/>
              <w:t> </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7</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1373"/>
        </w:trPr>
        <w:tc>
          <w:tcPr>
            <w:tcW w:w="742"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G) Progettazione e gestione del sistema locale dei servizi sociali ed erogazione delle relative prestazioni ai cittadini, secondo quanto previsto dall’articolo 118, quarto comma, della Costituzione</w:t>
            </w:r>
          </w:p>
        </w:tc>
        <w:tc>
          <w:tcPr>
            <w:tcW w:w="590" w:type="pct"/>
            <w:tcBorders>
              <w:top w:val="nil"/>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Interventi per l'infanzia e i minori e per asili nido</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Interventi per la disabilità</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Interventi per gli anziani</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Interventi per soggetti a rischio di esclusione sociale</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nil"/>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Interventi per le famiglie</w:t>
            </w:r>
          </w:p>
        </w:tc>
        <w:tc>
          <w:tcPr>
            <w:tcW w:w="328"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986"/>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H) Edilizia scolastica per la parte non attribuita alla competenza delle province, organizzazione e gestione dei servizi scolastici</w:t>
            </w:r>
          </w:p>
        </w:tc>
        <w:tc>
          <w:tcPr>
            <w:tcW w:w="590" w:type="pct"/>
            <w:tcBorders>
              <w:top w:val="single" w:sz="4" w:space="0" w:color="auto"/>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Istruzione prescolastica</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Altri ordini di istruzione</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Servizi ausiliari all’istruzione</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50</w:t>
            </w: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30</w:t>
            </w: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40</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nil"/>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Diritto allo studio</w:t>
            </w:r>
          </w:p>
        </w:tc>
        <w:tc>
          <w:tcPr>
            <w:tcW w:w="328"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4</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185"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525"/>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I) Polizia municipale e polizia amministrativa locale</w:t>
            </w:r>
          </w:p>
        </w:tc>
        <w:tc>
          <w:tcPr>
            <w:tcW w:w="590" w:type="pct"/>
            <w:tcBorders>
              <w:top w:val="single" w:sz="4" w:space="0" w:color="auto"/>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Polizia locale e amministrativa</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nil"/>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Sistema integrato di sicurezza urbana</w:t>
            </w:r>
          </w:p>
        </w:tc>
        <w:tc>
          <w:tcPr>
            <w:tcW w:w="328"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L) anagrafe, stato civile, leva</w:t>
            </w:r>
          </w:p>
        </w:tc>
        <w:tc>
          <w:tcPr>
            <w:tcW w:w="590" w:type="pct"/>
            <w:tcBorders>
              <w:top w:val="single" w:sz="4" w:space="0" w:color="auto"/>
              <w:left w:val="nil"/>
              <w:bottom w:val="nil"/>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 </w:t>
            </w:r>
          </w:p>
        </w:tc>
        <w:tc>
          <w:tcPr>
            <w:tcW w:w="328"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single" w:sz="4" w:space="0" w:color="auto"/>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single" w:sz="4" w:space="0" w:color="auto"/>
              <w:left w:val="nil"/>
              <w:bottom w:val="nil"/>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w:t>
            </w: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20</w:t>
            </w: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nil"/>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L bis) Servizio statistico</w:t>
            </w:r>
          </w:p>
        </w:tc>
        <w:tc>
          <w:tcPr>
            <w:tcW w:w="590" w:type="pct"/>
            <w:tcBorders>
              <w:top w:val="single" w:sz="4" w:space="0" w:color="auto"/>
              <w:left w:val="nil"/>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Statistica e sistemi informativi</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328"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5"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Servizi/Programmi non riferibili a Funzioni Fondamentali</w:t>
            </w:r>
          </w:p>
        </w:tc>
        <w:tc>
          <w:tcPr>
            <w:tcW w:w="590" w:type="pct"/>
            <w:tcBorders>
              <w:top w:val="single" w:sz="4" w:space="0" w:color="auto"/>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Tutela e valorizzazione dei beni e attività culturali</w:t>
            </w:r>
          </w:p>
        </w:tc>
        <w:tc>
          <w:tcPr>
            <w:tcW w:w="328"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single" w:sz="4" w:space="0" w:color="auto"/>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sport e tempo libero</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6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SVILUPPO E VALORIZZAZIONE Turismo</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GIOVANI</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2</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707"/>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single" w:sz="4" w:space="0" w:color="auto"/>
              <w:bottom w:val="single" w:sz="4" w:space="0" w:color="auto"/>
              <w:right w:val="single" w:sz="4" w:space="0" w:color="auto"/>
            </w:tcBorders>
            <w:vAlign w:val="bottom"/>
          </w:tcPr>
          <w:p w:rsidR="00C064DD" w:rsidRPr="0029310E" w:rsidRDefault="00C064DD" w:rsidP="00A17D1F">
            <w:pPr>
              <w:spacing w:after="0" w:line="240" w:lineRule="auto"/>
              <w:rPr>
                <w:rFonts w:cs="Calibri"/>
                <w:color w:val="000000"/>
                <w:sz w:val="16"/>
                <w:szCs w:val="16"/>
                <w:lang w:eastAsia="it-IT"/>
              </w:rPr>
            </w:pPr>
            <w:r w:rsidRPr="0029310E">
              <w:rPr>
                <w:rFonts w:cs="Calibri"/>
                <w:color w:val="000000"/>
                <w:sz w:val="16"/>
                <w:szCs w:val="16"/>
                <w:lang w:eastAsia="it-IT"/>
              </w:rPr>
              <w:t xml:space="preserve">Reti e altri servizi di pubblicautilità (SUAP, farmaciecomunali, affissioni e </w:t>
            </w:r>
            <w:r w:rsidRPr="0029310E">
              <w:rPr>
                <w:rFonts w:cs="Calibri"/>
                <w:color w:val="000000"/>
                <w:sz w:val="16"/>
                <w:szCs w:val="16"/>
                <w:lang w:eastAsia="it-IT"/>
              </w:rPr>
              <w:lastRenderedPageBreak/>
              <w:t>pubblicità)</w:t>
            </w:r>
          </w:p>
        </w:tc>
        <w:tc>
          <w:tcPr>
            <w:tcW w:w="328"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4"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185"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3</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5</w:t>
            </w: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single" w:sz="4" w:space="0" w:color="auto"/>
              <w:right w:val="single" w:sz="4" w:space="0" w:color="auto"/>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328"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5"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328"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184"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184"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185"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271" w:type="pct"/>
            <w:tcBorders>
              <w:top w:val="nil"/>
              <w:left w:val="nil"/>
              <w:bottom w:val="nil"/>
              <w:right w:val="nil"/>
            </w:tcBorders>
            <w:shd w:val="clear" w:color="000000" w:fill="00CCFF"/>
            <w:noWrap/>
            <w:vAlign w:val="bottom"/>
          </w:tcPr>
          <w:p w:rsidR="00C064DD" w:rsidRPr="0029310E" w:rsidRDefault="00C064DD" w:rsidP="00A17D1F">
            <w:pPr>
              <w:spacing w:after="0" w:line="240" w:lineRule="auto"/>
              <w:jc w:val="center"/>
              <w:rPr>
                <w:rFonts w:cs="Calibri"/>
                <w:color w:val="000000"/>
                <w:sz w:val="16"/>
                <w:szCs w:val="16"/>
                <w:lang w:eastAsia="it-IT"/>
              </w:rPr>
            </w:pPr>
            <w:r w:rsidRPr="0029310E">
              <w:rPr>
                <w:rFonts w:cs="Calibri"/>
                <w:color w:val="000000"/>
                <w:sz w:val="16"/>
                <w:szCs w:val="16"/>
                <w:lang w:eastAsia="it-IT"/>
              </w:rPr>
              <w:t>100</w:t>
            </w:r>
          </w:p>
        </w:tc>
        <w:tc>
          <w:tcPr>
            <w:tcW w:w="77" w:type="pct"/>
            <w:tcBorders>
              <w:top w:val="nil"/>
              <w:left w:val="nil"/>
              <w:bottom w:val="nil"/>
              <w:right w:val="nil"/>
            </w:tcBorders>
            <w:noWrap/>
            <w:vAlign w:val="bottom"/>
          </w:tcPr>
          <w:p w:rsidR="00C064DD" w:rsidRPr="0029310E" w:rsidRDefault="00C064DD" w:rsidP="00A17D1F">
            <w:pPr>
              <w:spacing w:after="0" w:line="240" w:lineRule="auto"/>
              <w:jc w:val="right"/>
              <w:rPr>
                <w:rFonts w:cs="Calibri"/>
                <w:color w:val="000000"/>
                <w:sz w:val="16"/>
                <w:szCs w:val="16"/>
                <w:lang w:eastAsia="it-IT"/>
              </w:rPr>
            </w:pPr>
          </w:p>
        </w:tc>
      </w:tr>
      <w:tr w:rsidR="00C064DD" w:rsidRPr="0029310E" w:rsidTr="00FA7B2C">
        <w:trPr>
          <w:trHeight w:val="300"/>
        </w:trPr>
        <w:tc>
          <w:tcPr>
            <w:tcW w:w="742"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590" w:type="pct"/>
            <w:tcBorders>
              <w:top w:val="nil"/>
              <w:left w:val="nil"/>
              <w:bottom w:val="nil"/>
              <w:right w:val="nil"/>
            </w:tcBorders>
            <w:vAlign w:val="bottom"/>
          </w:tcPr>
          <w:p w:rsidR="00C064DD" w:rsidRPr="0029310E" w:rsidRDefault="00C064DD" w:rsidP="00A17D1F">
            <w:pPr>
              <w:spacing w:after="0" w:line="240" w:lineRule="auto"/>
              <w:rPr>
                <w:rFonts w:cs="Calibri"/>
                <w:sz w:val="16"/>
                <w:szCs w:val="16"/>
                <w:lang w:eastAsia="it-IT"/>
              </w:rPr>
            </w:pPr>
          </w:p>
        </w:tc>
        <w:tc>
          <w:tcPr>
            <w:tcW w:w="328"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4"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185"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shd w:val="clear" w:color="000000" w:fill="CCFFFF"/>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color w:val="000000"/>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271" w:type="pct"/>
            <w:tcBorders>
              <w:top w:val="nil"/>
              <w:left w:val="nil"/>
              <w:bottom w:val="nil"/>
              <w:right w:val="nil"/>
            </w:tcBorders>
            <w:noWrap/>
            <w:vAlign w:val="bottom"/>
          </w:tcPr>
          <w:p w:rsidR="00C064DD" w:rsidRPr="0029310E" w:rsidRDefault="00C064DD" w:rsidP="00A17D1F">
            <w:pPr>
              <w:spacing w:after="0" w:line="240" w:lineRule="auto"/>
              <w:jc w:val="center"/>
              <w:rPr>
                <w:rFonts w:cs="Calibri"/>
                <w:sz w:val="16"/>
                <w:szCs w:val="16"/>
                <w:lang w:eastAsia="it-IT"/>
              </w:rPr>
            </w:pPr>
          </w:p>
        </w:tc>
        <w:tc>
          <w:tcPr>
            <w:tcW w:w="77" w:type="pct"/>
            <w:tcBorders>
              <w:top w:val="nil"/>
              <w:left w:val="nil"/>
              <w:bottom w:val="nil"/>
              <w:right w:val="nil"/>
            </w:tcBorders>
            <w:noWrap/>
            <w:vAlign w:val="bottom"/>
          </w:tcPr>
          <w:p w:rsidR="00C064DD" w:rsidRPr="0029310E" w:rsidRDefault="00C064DD" w:rsidP="00A17D1F">
            <w:pPr>
              <w:spacing w:after="0" w:line="240" w:lineRule="auto"/>
              <w:rPr>
                <w:rFonts w:cs="Calibri"/>
                <w:sz w:val="16"/>
                <w:szCs w:val="16"/>
                <w:lang w:eastAsia="it-IT"/>
              </w:rPr>
            </w:pPr>
          </w:p>
        </w:tc>
      </w:tr>
    </w:tbl>
    <w:p w:rsidR="00C064DD" w:rsidRPr="0029310E" w:rsidRDefault="00C064DD" w:rsidP="00C03BE4">
      <w:pPr>
        <w:rPr>
          <w:rFonts w:cs="Calibri"/>
          <w:sz w:val="16"/>
          <w:szCs w:val="16"/>
        </w:rPr>
      </w:pPr>
    </w:p>
    <w:p w:rsidR="00C064DD" w:rsidRPr="0029310E" w:rsidRDefault="00C064DD" w:rsidP="00C03BE4">
      <w:pPr>
        <w:rPr>
          <w:rFonts w:cs="Calibri"/>
          <w:sz w:val="16"/>
          <w:szCs w:val="16"/>
        </w:rPr>
      </w:pPr>
      <w:r w:rsidRPr="0029310E">
        <w:rPr>
          <w:rFonts w:cs="Calibri"/>
          <w:sz w:val="16"/>
          <w:szCs w:val="16"/>
        </w:rPr>
        <w:t>ELENCO SERVIZI IN CUI SI ARTICOLA L’ENTE</w:t>
      </w:r>
    </w:p>
    <w:p w:rsidR="00C064DD" w:rsidRPr="0029310E" w:rsidRDefault="00C064DD" w:rsidP="00C03BE4">
      <w:pPr>
        <w:rPr>
          <w:rFonts w:cs="Calibri"/>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6378"/>
      </w:tblGrid>
      <w:tr w:rsidR="00C064DD" w:rsidRPr="0029310E" w:rsidTr="00C03BE4">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bCs/>
                <w:sz w:val="16"/>
                <w:szCs w:val="16"/>
              </w:rPr>
              <w:t>SERVIZIO FINANZIARIO</w:t>
            </w:r>
          </w:p>
        </w:tc>
        <w:tc>
          <w:tcPr>
            <w:tcW w:w="3236" w:type="pct"/>
          </w:tcPr>
          <w:p w:rsidR="00C064DD" w:rsidRPr="0029310E" w:rsidRDefault="00C064DD" w:rsidP="00C03BE4">
            <w:pPr>
              <w:numPr>
                <w:ilvl w:val="0"/>
                <w:numId w:val="16"/>
              </w:numPr>
              <w:spacing w:after="0" w:line="240" w:lineRule="auto"/>
              <w:rPr>
                <w:rFonts w:ascii="Times New Roman" w:hAnsi="Times New Roman"/>
                <w:sz w:val="16"/>
                <w:szCs w:val="16"/>
              </w:rPr>
            </w:pPr>
            <w:r w:rsidRPr="0029310E">
              <w:rPr>
                <w:rFonts w:ascii="Times New Roman" w:hAnsi="Times New Roman"/>
                <w:bCs/>
                <w:sz w:val="16"/>
                <w:szCs w:val="16"/>
              </w:rPr>
              <w:t>PROGRAMMAZIONE E RENDICONTAZIONE ECONOMICO-FINANZIARIA GESTIONE CONTABILITÀ FINANZIARIA, GESTIONE CONTABILITÀ ECONOMICO-PATRIMONIALE</w:t>
            </w:r>
          </w:p>
        </w:tc>
      </w:tr>
      <w:tr w:rsidR="00C064DD" w:rsidRPr="0029310E" w:rsidTr="00C03BE4">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sz w:val="16"/>
                <w:szCs w:val="16"/>
              </w:rPr>
              <w:t>SERVIZIO TRIBUTI E SERVIZIO DEMOGRAFICO</w:t>
            </w:r>
          </w:p>
          <w:p w:rsidR="00C064DD" w:rsidRPr="0029310E" w:rsidRDefault="00C064DD" w:rsidP="00A17D1F">
            <w:pPr>
              <w:jc w:val="center"/>
              <w:rPr>
                <w:rFonts w:ascii="Times New Roman" w:hAnsi="Times New Roman"/>
                <w:sz w:val="16"/>
                <w:szCs w:val="16"/>
              </w:rPr>
            </w:pPr>
          </w:p>
        </w:tc>
        <w:tc>
          <w:tcPr>
            <w:tcW w:w="3236" w:type="pct"/>
          </w:tcPr>
          <w:p w:rsidR="00C064DD" w:rsidRPr="0029310E" w:rsidRDefault="00C064DD" w:rsidP="00C03BE4">
            <w:pPr>
              <w:numPr>
                <w:ilvl w:val="0"/>
                <w:numId w:val="16"/>
              </w:numPr>
              <w:spacing w:after="0" w:line="240" w:lineRule="auto"/>
              <w:rPr>
                <w:rFonts w:ascii="Times New Roman" w:hAnsi="Times New Roman"/>
                <w:sz w:val="16"/>
                <w:szCs w:val="16"/>
              </w:rPr>
            </w:pPr>
            <w:r w:rsidRPr="0029310E">
              <w:rPr>
                <w:rFonts w:ascii="Times New Roman" w:hAnsi="Times New Roman"/>
                <w:sz w:val="16"/>
                <w:szCs w:val="16"/>
              </w:rPr>
              <w:t xml:space="preserve">GESTIONE DELLE ENTRATE TRIBUTARIE E SERVIZI FISCALI </w:t>
            </w:r>
          </w:p>
          <w:p w:rsidR="00C064DD" w:rsidRPr="0029310E" w:rsidRDefault="00C064DD" w:rsidP="00C03BE4">
            <w:pPr>
              <w:numPr>
                <w:ilvl w:val="0"/>
                <w:numId w:val="16"/>
              </w:numPr>
              <w:spacing w:after="0" w:line="240" w:lineRule="auto"/>
              <w:rPr>
                <w:rFonts w:ascii="Times New Roman" w:hAnsi="Times New Roman"/>
                <w:sz w:val="16"/>
                <w:szCs w:val="16"/>
              </w:rPr>
            </w:pPr>
            <w:r w:rsidRPr="0029310E">
              <w:rPr>
                <w:rFonts w:ascii="Times New Roman" w:hAnsi="Times New Roman"/>
                <w:sz w:val="16"/>
                <w:szCs w:val="16"/>
              </w:rPr>
              <w:t>BIBLIOTECHE, BENI E INIZIATIVE CULTURALI, POLITICHE GIOVANILI, SPORT E TEMPO LIBERO</w:t>
            </w:r>
          </w:p>
          <w:p w:rsidR="00C064DD" w:rsidRPr="0029310E" w:rsidRDefault="00C064DD" w:rsidP="00C03BE4">
            <w:pPr>
              <w:numPr>
                <w:ilvl w:val="0"/>
                <w:numId w:val="16"/>
              </w:numPr>
              <w:spacing w:after="0" w:line="240" w:lineRule="auto"/>
              <w:rPr>
                <w:rFonts w:ascii="Times New Roman" w:hAnsi="Times New Roman"/>
                <w:sz w:val="16"/>
                <w:szCs w:val="16"/>
              </w:rPr>
            </w:pPr>
            <w:r w:rsidRPr="0029310E">
              <w:rPr>
                <w:rFonts w:ascii="Times New Roman" w:hAnsi="Times New Roman"/>
                <w:sz w:val="16"/>
                <w:szCs w:val="16"/>
              </w:rPr>
              <w:t xml:space="preserve">ANAGRAFE, ELETTORALE, LEVA, STATO CIVILE STATISTICA E SISTEMI INFORMATIVI </w:t>
            </w:r>
          </w:p>
        </w:tc>
      </w:tr>
      <w:tr w:rsidR="00C064DD" w:rsidRPr="0029310E" w:rsidTr="00C03BE4">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sz w:val="16"/>
                <w:szCs w:val="16"/>
              </w:rPr>
              <w:t>SERVIZIO VIGILANZA E ATTIVITÀ SOCIALI</w:t>
            </w:r>
          </w:p>
        </w:tc>
        <w:tc>
          <w:tcPr>
            <w:tcW w:w="3236" w:type="pct"/>
          </w:tcPr>
          <w:p w:rsidR="00C064DD" w:rsidRPr="0029310E" w:rsidRDefault="00C064DD" w:rsidP="00C03BE4">
            <w:pPr>
              <w:numPr>
                <w:ilvl w:val="0"/>
                <w:numId w:val="17"/>
              </w:numPr>
              <w:spacing w:after="0" w:line="240" w:lineRule="auto"/>
              <w:rPr>
                <w:rFonts w:ascii="Times New Roman" w:hAnsi="Times New Roman"/>
                <w:sz w:val="16"/>
                <w:szCs w:val="16"/>
              </w:rPr>
            </w:pPr>
            <w:r w:rsidRPr="0029310E">
              <w:rPr>
                <w:rFonts w:ascii="Times New Roman" w:hAnsi="Times New Roman"/>
                <w:sz w:val="16"/>
                <w:szCs w:val="16"/>
              </w:rPr>
              <w:t xml:space="preserve">PROTOCOLLO, SITO INTERNET </w:t>
            </w:r>
          </w:p>
          <w:p w:rsidR="00C064DD" w:rsidRPr="0029310E" w:rsidRDefault="00C064DD" w:rsidP="00C03BE4">
            <w:pPr>
              <w:numPr>
                <w:ilvl w:val="0"/>
                <w:numId w:val="17"/>
              </w:numPr>
              <w:spacing w:after="0" w:line="240" w:lineRule="auto"/>
              <w:rPr>
                <w:rFonts w:ascii="Times New Roman" w:hAnsi="Times New Roman"/>
                <w:sz w:val="16"/>
                <w:szCs w:val="16"/>
              </w:rPr>
            </w:pPr>
            <w:r w:rsidRPr="0029310E">
              <w:rPr>
                <w:rFonts w:ascii="Times New Roman" w:hAnsi="Times New Roman"/>
                <w:sz w:val="16"/>
                <w:szCs w:val="16"/>
              </w:rPr>
              <w:t xml:space="preserve">POLIZIA LOCALE E AMMINISTRATIVA </w:t>
            </w:r>
          </w:p>
          <w:p w:rsidR="00C064DD" w:rsidRPr="0029310E" w:rsidRDefault="00C064DD" w:rsidP="00C03BE4">
            <w:pPr>
              <w:numPr>
                <w:ilvl w:val="0"/>
                <w:numId w:val="17"/>
              </w:numPr>
              <w:spacing w:after="0" w:line="240" w:lineRule="auto"/>
              <w:rPr>
                <w:rFonts w:ascii="Times New Roman" w:hAnsi="Times New Roman"/>
                <w:sz w:val="16"/>
                <w:szCs w:val="16"/>
              </w:rPr>
            </w:pPr>
            <w:r w:rsidRPr="0029310E">
              <w:rPr>
                <w:rFonts w:ascii="Times New Roman" w:hAnsi="Times New Roman"/>
                <w:sz w:val="16"/>
                <w:szCs w:val="16"/>
              </w:rPr>
              <w:t xml:space="preserve">COMMERCIO </w:t>
            </w:r>
          </w:p>
          <w:p w:rsidR="00C064DD" w:rsidRPr="0029310E" w:rsidRDefault="00C064DD" w:rsidP="00C03BE4">
            <w:pPr>
              <w:numPr>
                <w:ilvl w:val="0"/>
                <w:numId w:val="17"/>
              </w:numPr>
              <w:spacing w:after="0" w:line="240" w:lineRule="auto"/>
              <w:rPr>
                <w:rFonts w:ascii="Times New Roman" w:hAnsi="Times New Roman"/>
                <w:sz w:val="16"/>
                <w:szCs w:val="16"/>
              </w:rPr>
            </w:pPr>
            <w:r w:rsidRPr="0029310E">
              <w:rPr>
                <w:rFonts w:ascii="Times New Roman" w:hAnsi="Times New Roman"/>
                <w:sz w:val="16"/>
                <w:szCs w:val="16"/>
              </w:rPr>
              <w:t xml:space="preserve">RETI E ALTRI SERVIZI DI PUBBLICA UTILITÀ </w:t>
            </w:r>
          </w:p>
          <w:p w:rsidR="00C064DD" w:rsidRPr="0029310E" w:rsidRDefault="00C064DD" w:rsidP="00C03BE4">
            <w:pPr>
              <w:numPr>
                <w:ilvl w:val="0"/>
                <w:numId w:val="17"/>
              </w:numPr>
              <w:spacing w:after="0" w:line="240" w:lineRule="auto"/>
              <w:rPr>
                <w:rFonts w:ascii="Times New Roman" w:hAnsi="Times New Roman"/>
                <w:sz w:val="16"/>
                <w:szCs w:val="16"/>
              </w:rPr>
            </w:pPr>
            <w:r w:rsidRPr="0029310E">
              <w:rPr>
                <w:rFonts w:ascii="Times New Roman" w:hAnsi="Times New Roman"/>
                <w:sz w:val="16"/>
                <w:szCs w:val="16"/>
              </w:rPr>
              <w:t xml:space="preserve">INTERVENTI SOCIALI PER INFANZIA, MINORI E FAMIGLIE, DISABILITÀ, ANZIANI, SOGGETTI A RISCHIO DI ESCLUSIONE SOCIALE, FAMIGLIE </w:t>
            </w:r>
          </w:p>
          <w:p w:rsidR="00C064DD" w:rsidRPr="0029310E" w:rsidRDefault="00C064DD" w:rsidP="00C03BE4">
            <w:pPr>
              <w:numPr>
                <w:ilvl w:val="0"/>
                <w:numId w:val="17"/>
              </w:numPr>
              <w:spacing w:after="0" w:line="240" w:lineRule="auto"/>
              <w:rPr>
                <w:rFonts w:ascii="Times New Roman" w:hAnsi="Times New Roman"/>
                <w:sz w:val="16"/>
                <w:szCs w:val="16"/>
              </w:rPr>
            </w:pPr>
            <w:r w:rsidRPr="0029310E">
              <w:rPr>
                <w:rFonts w:ascii="Times New Roman" w:hAnsi="Times New Roman"/>
                <w:sz w:val="16"/>
                <w:szCs w:val="16"/>
              </w:rPr>
              <w:t>ISTRUZIONE PRESCOLASTICA, SCUOLA E DIRITTO ALLO STUDIO, SERVIZI AUSILIARI AL SISTEMA SCOLASTICO</w:t>
            </w:r>
          </w:p>
        </w:tc>
      </w:tr>
      <w:tr w:rsidR="00C064DD" w:rsidRPr="0029310E" w:rsidTr="00C03BE4">
        <w:trPr>
          <w:trHeight w:val="1548"/>
        </w:trPr>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sz w:val="16"/>
                <w:szCs w:val="16"/>
              </w:rPr>
              <w:t>SERVIZIO TECNICO LLPP</w:t>
            </w:r>
          </w:p>
        </w:tc>
        <w:tc>
          <w:tcPr>
            <w:tcW w:w="3236" w:type="pct"/>
          </w:tcPr>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PROGETTAZIONE LAVORI E OPERE PUBBLICHE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VIABILITA’ E INFRASTRUTTURE STRADALI</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MANUTENZIONI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GESTIONE DEI BENI DEMANIALI E PATRIMONIALI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EDILIZIA SCOLASTICA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RISORSE E SERVIZI IDRICI, GAS E ILLUMINAZIONE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TUTELA, PROTEZIONE E VALORIZZAZIONE DELL’AMBIENTE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RIFIUTI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SISTEMA DI PROTEZIONE CIVILE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SERVIZI CIMITERIALI</w:t>
            </w:r>
          </w:p>
        </w:tc>
      </w:tr>
      <w:tr w:rsidR="00C064DD" w:rsidRPr="0029310E" w:rsidTr="00C03BE4">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sz w:val="16"/>
                <w:szCs w:val="16"/>
              </w:rPr>
              <w:t>SERVIZIO TECNICO URBANISTICA</w:t>
            </w:r>
          </w:p>
        </w:tc>
        <w:tc>
          <w:tcPr>
            <w:tcW w:w="3236" w:type="pct"/>
          </w:tcPr>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 xml:space="preserve">URBANISTICA ASSETTO DEL TERRITORIO </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CATASTO</w:t>
            </w:r>
          </w:p>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EDILIZIA RESIDENZIALE PUBBLICA E LOCALE E PIANI DI EDILIZIA ECONOMICO-POPOLARE</w:t>
            </w:r>
          </w:p>
        </w:tc>
      </w:tr>
      <w:tr w:rsidR="00C064DD" w:rsidRPr="0029310E" w:rsidTr="00C03BE4">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sz w:val="16"/>
                <w:szCs w:val="16"/>
              </w:rPr>
              <w:t>SERVIZIO AFFARI GENERALI</w:t>
            </w:r>
          </w:p>
        </w:tc>
        <w:tc>
          <w:tcPr>
            <w:tcW w:w="3236" w:type="pct"/>
          </w:tcPr>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AFFARI GENERALI (ORGANI, CONTRATTI, CONTROLLI)</w:t>
            </w:r>
          </w:p>
        </w:tc>
      </w:tr>
      <w:tr w:rsidR="00C064DD" w:rsidRPr="0029310E" w:rsidTr="00C03BE4">
        <w:trPr>
          <w:trHeight w:val="449"/>
        </w:trPr>
        <w:tc>
          <w:tcPr>
            <w:tcW w:w="1764" w:type="pct"/>
            <w:vAlign w:val="center"/>
          </w:tcPr>
          <w:p w:rsidR="00C064DD" w:rsidRPr="0029310E" w:rsidRDefault="00C064DD" w:rsidP="00A17D1F">
            <w:pPr>
              <w:jc w:val="center"/>
              <w:rPr>
                <w:rFonts w:ascii="Times New Roman" w:hAnsi="Times New Roman"/>
                <w:sz w:val="16"/>
                <w:szCs w:val="16"/>
              </w:rPr>
            </w:pPr>
            <w:r w:rsidRPr="0029310E">
              <w:rPr>
                <w:rFonts w:ascii="Times New Roman" w:hAnsi="Times New Roman"/>
                <w:sz w:val="16"/>
                <w:szCs w:val="16"/>
              </w:rPr>
              <w:t>SERVIZIO ORGANIZZAZIONE E PERSONALE</w:t>
            </w:r>
          </w:p>
        </w:tc>
        <w:tc>
          <w:tcPr>
            <w:tcW w:w="3236" w:type="pct"/>
          </w:tcPr>
          <w:p w:rsidR="00C064DD" w:rsidRPr="0029310E" w:rsidRDefault="00C064DD" w:rsidP="00C03BE4">
            <w:pPr>
              <w:numPr>
                <w:ilvl w:val="0"/>
                <w:numId w:val="18"/>
              </w:numPr>
              <w:spacing w:after="0" w:line="240" w:lineRule="auto"/>
              <w:rPr>
                <w:rFonts w:ascii="Times New Roman" w:hAnsi="Times New Roman"/>
                <w:sz w:val="16"/>
                <w:szCs w:val="16"/>
              </w:rPr>
            </w:pPr>
            <w:r w:rsidRPr="0029310E">
              <w:rPr>
                <w:rFonts w:ascii="Times New Roman" w:hAnsi="Times New Roman"/>
                <w:sz w:val="16"/>
                <w:szCs w:val="16"/>
              </w:rPr>
              <w:t>GESTIONE PERSONALE E ORGANIZZAZIONE</w:t>
            </w:r>
          </w:p>
        </w:tc>
      </w:tr>
    </w:tbl>
    <w:p w:rsidR="00C064DD" w:rsidRPr="0029310E" w:rsidRDefault="00C064DD" w:rsidP="00C03BE4">
      <w:pPr>
        <w:rPr>
          <w:sz w:val="16"/>
          <w:szCs w:val="16"/>
        </w:rPr>
      </w:pPr>
    </w:p>
    <w:p w:rsidR="00C064DD" w:rsidRPr="0029310E" w:rsidRDefault="00C064DD" w:rsidP="0010745A">
      <w:pPr>
        <w:autoSpaceDE w:val="0"/>
        <w:autoSpaceDN w:val="0"/>
        <w:adjustRightInd w:val="0"/>
        <w:spacing w:after="0" w:line="240" w:lineRule="auto"/>
        <w:jc w:val="both"/>
        <w:rPr>
          <w:rFonts w:ascii="Times New Roman" w:hAnsi="Times New Roman"/>
          <w:color w:val="000000"/>
          <w:sz w:val="24"/>
          <w:szCs w:val="24"/>
        </w:rPr>
      </w:pPr>
    </w:p>
    <w:p w:rsidR="00FA7B2C" w:rsidRPr="0029310E" w:rsidRDefault="00FA7B2C" w:rsidP="00FA7B2C">
      <w:pPr>
        <w:jc w:val="both"/>
        <w:rPr>
          <w:rFonts w:ascii="Times New Roman" w:hAnsi="Times New Roman"/>
          <w:sz w:val="24"/>
          <w:szCs w:val="24"/>
          <w:lang w:eastAsia="it-IT"/>
        </w:rPr>
      </w:pPr>
      <w:r w:rsidRPr="0029310E">
        <w:rPr>
          <w:rFonts w:ascii="Times New Roman" w:hAnsi="Times New Roman"/>
          <w:sz w:val="24"/>
          <w:szCs w:val="24"/>
        </w:rPr>
        <w:t>Il comune di Borgo Priolo gestisce i servizi i servizi anagrafici tramite una unità lavorativa dipendente del Comune di Rocca Susella con incarico part-time con convenzione ai sensi dell’articolo 14, comma 1, del c.c.n.l. 22 gennaio 2004 e una unità lavorativa dipendente del Comune di Montesegale con incarico part-time con convenzione ai sensi dell’ex art. 1 - comma 557 - l. n° 311/2004.</w:t>
      </w:r>
    </w:p>
    <w:p w:rsidR="00C064DD" w:rsidRPr="0029310E" w:rsidRDefault="00C064DD" w:rsidP="005C4FD9">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Si ribadisce ancora che per quanto attiene l’organizzazione dei comuni di Borgo Priolo e Rocca Susella che  non hanno conferito all’unione tenuta dei registri di stato civile e di popolazione e compiti in materia di servizi anagrafici nonché in materia di servizi elettorali, nell’esercizio delle funzioni di competenza statale si confermano le determinazioni dei PTPC integrate per quanto occorre con le determinazioni del presente piano che a tal fine costituisce aggiornamento dei piani comunali.</w:t>
      </w:r>
    </w:p>
    <w:p w:rsidR="00C064DD" w:rsidRPr="0029310E" w:rsidRDefault="00C064DD" w:rsidP="00067ED4">
      <w:pPr>
        <w:autoSpaceDE w:val="0"/>
        <w:autoSpaceDN w:val="0"/>
        <w:adjustRightInd w:val="0"/>
        <w:spacing w:after="0" w:line="240" w:lineRule="auto"/>
        <w:rPr>
          <w:rFonts w:ascii="TT41o00" w:hAnsi="TT41o00" w:cs="TT41o00"/>
          <w:sz w:val="18"/>
          <w:szCs w:val="18"/>
        </w:rPr>
      </w:pPr>
    </w:p>
    <w:p w:rsidR="00C064DD" w:rsidRPr="0029310E" w:rsidRDefault="00C064DD" w:rsidP="0010745A">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 SOGGETTI</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lastRenderedPageBreak/>
        <w:t>Come detto, il PTPC riguarda e coinvolge l’intera organizzazione dell’Unione e, pur nei diversi ruoli, competenze e responsabilità, tutti i soggetti che operano nell’Ente o che collaborano con esso.</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Il Piano, infatti, vuole affermare il principio di responsabilità, non inteso nel senso esclusivamente negativo del rispondere delle proprie azioni, ma anche e soprattutto nello spirito dell’interdipendenza positiva, della cooperazione tra gli attori – anche se nel rispetto delle funzioni di ciascuno – in vista della realizzazione di un sistema coordinato ed integrato, anche sul piano relazionale, abile e pronto a prevenire l’illegalità.</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In tale logica vanno intesi i seguenti, diversi ruoli, come descritti dalla legge e dal P.N.A. In ogni caso le comunicazioni o le segnalazioni tra i soggetti di seguito indicati, attinenti alle materie di cui al presente Piano, sono effettuate con modalità che ne consentano la tracciabilità.</w:t>
      </w:r>
    </w:p>
    <w:p w:rsidR="00C064DD" w:rsidRPr="0029310E" w:rsidRDefault="00C064DD" w:rsidP="00B73E9D">
      <w:pPr>
        <w:autoSpaceDE w:val="0"/>
        <w:autoSpaceDN w:val="0"/>
        <w:adjustRightInd w:val="0"/>
        <w:spacing w:after="0" w:line="240" w:lineRule="auto"/>
        <w:jc w:val="both"/>
        <w:rPr>
          <w:rFonts w:ascii="Times New Roman" w:hAnsi="Times New Roman"/>
          <w:sz w:val="24"/>
          <w:szCs w:val="24"/>
        </w:rPr>
      </w:pPr>
    </w:p>
    <w:p w:rsidR="00C064DD" w:rsidRPr="0029310E" w:rsidRDefault="00C064DD" w:rsidP="00B73E9D">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sz w:val="24"/>
          <w:szCs w:val="24"/>
        </w:rPr>
        <w:t>Per quanto attiene l’organizzazione dei comuni di Borgo Priolo e Rocca Susella che  non hanno conferito all’unione tenuta dei registri di stato civile e di popolazione e compiti in materia di servizi anagrafici nonché in materia di servizi elettorali, nell’esercizio delle funzioni di competenza statale si confermano le determinazioni dei PTPC integrate per quanto occorre con le determinazioni del presente piano che a tal fine costituisce aggiornamento dei piani comunali. Per queste funzioni</w:t>
      </w:r>
      <w:r w:rsidRPr="0029310E">
        <w:rPr>
          <w:rFonts w:ascii="Times New Roman" w:hAnsi="Times New Roman"/>
          <w:color w:val="000000"/>
          <w:sz w:val="24"/>
          <w:szCs w:val="24"/>
        </w:rPr>
        <w:t xml:space="preserve">, resta ferma la responsabilità diretta per l’attuazione delle misure di prevenzione in capo ai singoli comuni e, in particolare, ai soggetti incaricati dell’attuazione; </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3.1. Autorità indirizzo politico</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Alla luce di quanto previsto dall’articolo 10 del d.lgs. n. 33/2013, e dalle indicazioni fornite dall’Anac con Delibera n. 12/2014 in tema di organo competente ad adottare il piano triennale di prevenzione della corruzione negli enti locali, si ritiene competente per l’adozione e l’aggiornamento del PTPC, nonché per la nomina del Responsabile della prevenzione della corruzione e del Responsabile della trasparenza, la Giunta dell’Unione. Essa, inoltre, adotta tutti gli atti di indirizzo di carattere generale, che siano direttamente o indirettamente finalizzati alla prevenzione della corruzione. La determinazione n. 12 del 28.10,2015 dell' Autorità Nazionale Anticorruzione (ANAC) prevede la partecipazione degli organi di indirizzo politico nel processo di formazione del PTCP, nelle more della definizione della disciplina del processo di formazione da parte delle Autorità competenti, il piano approvato sarà trasmesso ai componenti dell’Assemblea, tramite i capigruppo. Gli organi di indirizzo politico verranno, inoltre, coinvolti nell'aggiornamento e monitoraggio del Piano.</w:t>
      </w: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3.2. Responsabile della prevenzione della corruzione e della trasparenza</w:t>
      </w: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Il Responsabile della prevenzione della corruzione e della trasparenza ai sensi dell’articolo 1, comma 7, della Legge n. 190/2012, è il Segretario dell’Unione.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Egli svolge i compiti indicati dalla legge, come specificati nella circolare del Dipartimento della funzione pubblica n. 1 del 2013, formula la proposta di PTPC e dei suoi aggiornamenti ed esercita i compiti di vigilanza sul rispetto delle norme in materia di inconferibilità e incompatibilità. Elabora, inoltre, la relazione annuale sull’attività svolta e ne assicura la pubblicazione.</w:t>
      </w: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3.3. Responsabili di servizio</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 xml:space="preserve">I Responsabili di servizio sono i referenti per la prevenzione, negli ambiti di rispettiva competenza. In questo ruolo svolgono attività informativa nei confronti del Responsabile, affinché questi abbia elementi e riscontri sull’intera organizzazione ed attività dell’amministrazione e lo sostengono nell’attività di monitoraggio. Partecipano al processo di gestione del rischio e propongono le misure </w:t>
      </w:r>
      <w:r w:rsidRPr="0029310E">
        <w:rPr>
          <w:rFonts w:ascii="Times New Roman" w:hAnsi="Times New Roman"/>
          <w:color w:val="000000"/>
          <w:sz w:val="24"/>
          <w:szCs w:val="24"/>
        </w:rPr>
        <w:lastRenderedPageBreak/>
        <w:t>di prevenzione, assicurano, all’interno della propria struttura, l’osservanza del Codice di comportamento, individuando le ipotesi di violazione e adottano le misure gestionali di propria competenza. Ogni Responsabile di Servizio in aggiunta ai compiti ad esso attribuiti dalle norme di legge e regolamentari esercita le seguenti attività:</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a) Partecipa attivamente all'analisi dei rischi, propone le misure di prevenzione relative ai processi di competenza e ne assicura l'attuazione;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b) Monitoraggio in ordine al rispetto dei tempi procedimentali, secondo le indicazioni fornite dal Responsabile della prevenzione;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c) Promozione di divulgazione delle prescrizioni contenute nel PTPC, nonché agli obblighi riguardanti la trasparenza amministrativa ed il Codice di Comportamento vigente nell’Ente;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d) Verifica dell'attuazione delle prescrizioni contenute nel presente Piano, nel Piano di Trasparenza e nel Codice di Comportamento;</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e) Predisposizione di eventuali proposte di integrazione delle prescrizioni contenute nei documenti richiamati nel precedente punto c);</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f) Partecipazione con il Responsabile della prevenzione della corruzione per la definizione del piano di formazione e l'individuazione dei dipendenti a cui destinarlo.</w:t>
      </w: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3.4. Organismo di valutazione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L’Organismo di valutazione partecipa al processo di gestione del rischio, nello svolgimento dei compiti ad esso attribuiti. L’OIV è costituito dai segretari dei comuni costituenti l’unione eventualmente integrati da professionalità esterne ed è nominato con decreto del presidente dell’Unione.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Fornisce attestazione in merito all’assolvimento degli obblighi di trasparenza ai sensi del D. Lgs. n. 150/2009 e s.m.i., verifica la coerenza fra gli obiettivi di performance organizzativa ed individuale e l'attuazione delle misure di prevenzione della corruzione. Svolge, inoltre i compiti propri connessi all’attività anticorruzione nel settore della trasparenza amministrativa ed esprime parere obbligatorio sul Codice di comportamento.</w:t>
      </w: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3.5. Ufficio per i procedimenti disciplinari</w:t>
      </w:r>
    </w:p>
    <w:p w:rsidR="00C064DD" w:rsidRPr="0029310E" w:rsidRDefault="00C064DD" w:rsidP="005C4FD9">
      <w:pPr>
        <w:autoSpaceDE w:val="0"/>
        <w:autoSpaceDN w:val="0"/>
        <w:adjustRightInd w:val="0"/>
        <w:spacing w:after="0" w:line="240" w:lineRule="auto"/>
        <w:jc w:val="both"/>
        <w:rPr>
          <w:rFonts w:ascii="Times New Roman" w:hAnsi="Times New Roman"/>
          <w:sz w:val="24"/>
          <w:szCs w:val="24"/>
        </w:rPr>
      </w:pPr>
    </w:p>
    <w:p w:rsidR="00C064DD" w:rsidRPr="0029310E" w:rsidRDefault="00C064DD" w:rsidP="005C4FD9">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L’ufficio dei procedimenti disciplinari è individuato nelle persone dei segretari dei comuni costituenti l’unione eventualmente integrati da professionalità esterne ed è nominato con decreto del presidente dell’Unione.</w:t>
      </w:r>
    </w:p>
    <w:p w:rsidR="00C064DD" w:rsidRPr="0029310E" w:rsidRDefault="00C064DD" w:rsidP="00B6052C">
      <w:pPr>
        <w:autoSpaceDE w:val="0"/>
        <w:autoSpaceDN w:val="0"/>
        <w:adjustRightInd w:val="0"/>
        <w:spacing w:after="0" w:line="240" w:lineRule="auto"/>
        <w:jc w:val="both"/>
        <w:rPr>
          <w:rFonts w:ascii="Times New Roman" w:hAnsi="Times New Roman"/>
          <w:sz w:val="24"/>
          <w:szCs w:val="24"/>
        </w:rPr>
      </w:pPr>
      <w:r w:rsidRPr="0029310E">
        <w:rPr>
          <w:rFonts w:ascii="Times New Roman" w:hAnsi="Times New Roman"/>
          <w:sz w:val="24"/>
          <w:szCs w:val="24"/>
        </w:rPr>
        <w:t>Tenuto conto delle indicazioni fornite dall’Accordo concluso in Conferenza Unificata del 24.07.2013, sarà verificata, nell’ambito del percorso concernente gli obblighi di gestione associata delle funzioni fondamentali, la possibilità di costituire gli uffici per i procedimenti disciplinari in convenzione tra più enti.</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L’Ufficio svolge i procedimenti disciplinari nell’ambito della propria competenza, secondo quanto previsto da leggi e Regolamenti e propone l’aggiornamento del Codice di comportamento.</w:t>
      </w: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3.6. I dipendenti</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t>Nello spirito di partecipazione più sopra descritto, tutti i dipendenti sono coinvolti attivamente nel processo di gestione del rischio. A loro è richiesto il costruttivo apporto nell’attività di elaborazione del Piano, nella sua attuazione e nel monitoraggio, compresa la segnalazione di casi o situazioni in contrasto o che vanifichino le azioni pianificate.</w:t>
      </w:r>
    </w:p>
    <w:p w:rsidR="00C064DD" w:rsidRPr="0029310E" w:rsidRDefault="00C064DD" w:rsidP="00B6052C">
      <w:pPr>
        <w:autoSpaceDE w:val="0"/>
        <w:autoSpaceDN w:val="0"/>
        <w:adjustRightInd w:val="0"/>
        <w:spacing w:after="0" w:line="240" w:lineRule="auto"/>
        <w:jc w:val="both"/>
        <w:rPr>
          <w:rFonts w:ascii="Times New Roman" w:hAnsi="Times New Roman"/>
          <w:color w:val="CD33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b/>
          <w:sz w:val="24"/>
          <w:szCs w:val="24"/>
        </w:rPr>
      </w:pPr>
      <w:r w:rsidRPr="0029310E">
        <w:rPr>
          <w:rFonts w:ascii="Times New Roman" w:hAnsi="Times New Roman"/>
          <w:b/>
          <w:sz w:val="24"/>
          <w:szCs w:val="24"/>
        </w:rPr>
        <w:t>3.7. Collaboratori dell’Amministrazione</w:t>
      </w: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p>
    <w:p w:rsidR="00C064DD" w:rsidRPr="0029310E" w:rsidRDefault="00C064DD" w:rsidP="00B6052C">
      <w:pPr>
        <w:autoSpaceDE w:val="0"/>
        <w:autoSpaceDN w:val="0"/>
        <w:adjustRightInd w:val="0"/>
        <w:spacing w:after="0" w:line="240" w:lineRule="auto"/>
        <w:jc w:val="both"/>
        <w:rPr>
          <w:rFonts w:ascii="Times New Roman" w:hAnsi="Times New Roman"/>
          <w:color w:val="000000"/>
          <w:sz w:val="24"/>
          <w:szCs w:val="24"/>
        </w:rPr>
      </w:pPr>
      <w:r w:rsidRPr="0029310E">
        <w:rPr>
          <w:rFonts w:ascii="Times New Roman" w:hAnsi="Times New Roman"/>
          <w:color w:val="000000"/>
          <w:sz w:val="24"/>
          <w:szCs w:val="24"/>
        </w:rPr>
        <w:lastRenderedPageBreak/>
        <w:t>Osservano le regole e le misure del PTPC e rispettano gli obblighi per loro previsti dal Codice di Comportamento e dalle relative disposizioni attuative.</w:t>
      </w:r>
    </w:p>
    <w:p w:rsidR="00C064DD" w:rsidRPr="0029310E" w:rsidRDefault="00C064DD" w:rsidP="00B6052C">
      <w:pPr>
        <w:autoSpaceDE w:val="0"/>
        <w:autoSpaceDN w:val="0"/>
        <w:adjustRightInd w:val="0"/>
        <w:spacing w:after="0" w:line="240" w:lineRule="auto"/>
        <w:jc w:val="both"/>
        <w:rPr>
          <w:rFonts w:ascii="TT32o00" w:hAnsi="TT32o00" w:cs="TT32o00"/>
          <w:color w:val="CD3300"/>
          <w:sz w:val="28"/>
          <w:szCs w:val="28"/>
        </w:rPr>
      </w:pPr>
    </w:p>
    <w:p w:rsidR="00C064DD" w:rsidRPr="0029310E" w:rsidRDefault="00C064DD" w:rsidP="00B6052C">
      <w:pPr>
        <w:autoSpaceDE w:val="0"/>
        <w:autoSpaceDN w:val="0"/>
        <w:adjustRightInd w:val="0"/>
        <w:spacing w:after="0" w:line="240" w:lineRule="auto"/>
        <w:jc w:val="both"/>
        <w:rPr>
          <w:rFonts w:ascii="Times New Roman" w:hAnsi="Times New Roman"/>
          <w:sz w:val="24"/>
          <w:szCs w:val="24"/>
        </w:rPr>
      </w:pPr>
    </w:p>
    <w:p w:rsidR="00C064DD" w:rsidRPr="0029310E" w:rsidRDefault="00C064DD" w:rsidP="0037688C">
      <w:pPr>
        <w:pStyle w:val="Nessunaspaziatura"/>
        <w:jc w:val="both"/>
        <w:rPr>
          <w:rFonts w:ascii="Times New Roman" w:hAnsi="Times New Roman"/>
          <w:b/>
          <w:bCs/>
          <w:iCs/>
          <w:caps/>
          <w:sz w:val="24"/>
          <w:szCs w:val="24"/>
        </w:rPr>
      </w:pPr>
      <w:r w:rsidRPr="0029310E">
        <w:rPr>
          <w:rFonts w:ascii="Times New Roman" w:hAnsi="Times New Roman"/>
          <w:b/>
          <w:bCs/>
          <w:iCs/>
          <w:caps/>
          <w:sz w:val="24"/>
          <w:szCs w:val="24"/>
        </w:rPr>
        <w:t xml:space="preserve">4. </w:t>
      </w:r>
      <w:bookmarkStart w:id="3" w:name="_Toc405477353"/>
      <w:r w:rsidRPr="0029310E">
        <w:rPr>
          <w:rFonts w:ascii="Times New Roman" w:hAnsi="Times New Roman"/>
          <w:b/>
          <w:bCs/>
          <w:iCs/>
          <w:caps/>
          <w:sz w:val="24"/>
          <w:szCs w:val="24"/>
        </w:rPr>
        <w:t>Mappatura dei processi e Gestione del rischio</w:t>
      </w:r>
      <w:bookmarkEnd w:id="3"/>
    </w:p>
    <w:p w:rsidR="00C064DD" w:rsidRPr="0029310E" w:rsidRDefault="00C064DD" w:rsidP="0037688C">
      <w:pPr>
        <w:pStyle w:val="Nessunaspaziatura"/>
        <w:jc w:val="both"/>
        <w:rPr>
          <w:rFonts w:ascii="Times New Roman" w:hAnsi="Times New Roman"/>
          <w:bCs/>
          <w:iCs/>
        </w:rPr>
      </w:pPr>
    </w:p>
    <w:p w:rsidR="00C064DD" w:rsidRPr="0029310E" w:rsidRDefault="00C064DD" w:rsidP="0037688C">
      <w:pPr>
        <w:pStyle w:val="Nessunaspaziatura"/>
        <w:jc w:val="both"/>
        <w:rPr>
          <w:rFonts w:ascii="Times New Roman" w:hAnsi="Times New Roman"/>
          <w:bCs/>
          <w:iCs/>
        </w:rPr>
      </w:pPr>
      <w:r w:rsidRPr="0029310E">
        <w:rPr>
          <w:rFonts w:ascii="Times New Roman" w:hAnsi="Times New Roman"/>
          <w:bCs/>
          <w:iCs/>
        </w:rPr>
        <w:t>La mappatura dei processi è un modo "</w:t>
      </w:r>
      <w:r w:rsidRPr="0029310E">
        <w:rPr>
          <w:rFonts w:ascii="Times New Roman" w:hAnsi="Times New Roman"/>
          <w:bCs/>
          <w:i/>
          <w:iCs/>
        </w:rPr>
        <w:t>razionale</w:t>
      </w:r>
      <w:r w:rsidRPr="0029310E">
        <w:rPr>
          <w:rFonts w:ascii="Times New Roman" w:hAnsi="Times New Roman"/>
          <w:bCs/>
          <w:iCs/>
        </w:rPr>
        <w:t xml:space="preserve">" di individuare e rappresentare tutte le attività dell'ente per fini diversi. </w:t>
      </w:r>
    </w:p>
    <w:p w:rsidR="00C064DD" w:rsidRPr="0029310E" w:rsidRDefault="00C064DD" w:rsidP="0037688C">
      <w:pPr>
        <w:pStyle w:val="Nessunaspaziatura"/>
        <w:jc w:val="both"/>
        <w:rPr>
          <w:rFonts w:ascii="Times New Roman" w:hAnsi="Times New Roman"/>
          <w:bCs/>
          <w:iCs/>
        </w:rPr>
      </w:pPr>
      <w:r w:rsidRPr="0029310E">
        <w:rPr>
          <w:rFonts w:ascii="Times New Roman" w:hAnsi="Times New Roman"/>
          <w:bCs/>
          <w:iCs/>
        </w:rPr>
        <w:t xml:space="preserve">La mappatura assume carattere strumentale a fini dell'identificazione, della valutazione e del trattamento dei rischi corruttivi. </w:t>
      </w:r>
    </w:p>
    <w:p w:rsidR="00C064DD" w:rsidRPr="0029310E" w:rsidRDefault="00C064DD" w:rsidP="0037688C">
      <w:pPr>
        <w:pStyle w:val="Nessunaspaziatura"/>
        <w:jc w:val="both"/>
        <w:rPr>
          <w:rFonts w:ascii="Times New Roman" w:hAnsi="Times New Roman"/>
          <w:bCs/>
          <w:iCs/>
        </w:rPr>
      </w:pPr>
      <w:r w:rsidRPr="0029310E">
        <w:rPr>
          <w:rFonts w:ascii="Times New Roman" w:hAnsi="Times New Roman"/>
          <w:bCs/>
          <w:iCs/>
        </w:rPr>
        <w:t>L’ANAC con la determinazione n. 12 del 2015 ha previsto che il Piano triennale di prevenzione della corruzione dia atto dell’effettivo svolgimento della mappatura dei processi.</w:t>
      </w:r>
    </w:p>
    <w:p w:rsidR="00C064DD" w:rsidRPr="0029310E" w:rsidRDefault="00C064DD" w:rsidP="0037688C">
      <w:pPr>
        <w:pStyle w:val="Nessunaspaziatura"/>
        <w:jc w:val="both"/>
        <w:rPr>
          <w:rFonts w:ascii="Times New Roman" w:hAnsi="Times New Roman"/>
          <w:bCs/>
          <w:iCs/>
        </w:rPr>
      </w:pPr>
      <w:r w:rsidRPr="0029310E">
        <w:rPr>
          <w:rFonts w:ascii="Times New Roman" w:hAnsi="Times New Roman"/>
          <w:bCs/>
          <w:iCs/>
        </w:rPr>
        <w:t xml:space="preserve">L’aggiornamento del Piano anticorruzione è da approvarsi entro il 31 gennaio 2016. </w:t>
      </w:r>
    </w:p>
    <w:p w:rsidR="00C064DD" w:rsidRPr="0029310E" w:rsidRDefault="00C064DD" w:rsidP="0037688C">
      <w:pPr>
        <w:pStyle w:val="Nessunaspaziatura"/>
        <w:jc w:val="both"/>
        <w:rPr>
          <w:rFonts w:ascii="Times New Roman" w:hAnsi="Times New Roman"/>
          <w:bCs/>
          <w:iCs/>
        </w:rPr>
      </w:pPr>
      <w:r w:rsidRPr="0029310E">
        <w:rPr>
          <w:rFonts w:ascii="Times New Roman" w:hAnsi="Times New Roman"/>
          <w:bCs/>
          <w:iCs/>
        </w:rPr>
        <w:t xml:space="preserve">Pertanto è pressoché materialmente impossibile provvedere alla completa stesura della mappatura di tutti i processi dell’ente in un lasso di tempo tanto ristretto. </w:t>
      </w:r>
    </w:p>
    <w:p w:rsidR="00C064DD" w:rsidRPr="0029310E" w:rsidRDefault="00C064DD" w:rsidP="0037688C">
      <w:pPr>
        <w:pStyle w:val="Nessunaspaziatura"/>
        <w:jc w:val="both"/>
        <w:rPr>
          <w:rFonts w:ascii="Times New Roman" w:hAnsi="Times New Roman"/>
          <w:bCs/>
          <w:iCs/>
        </w:rPr>
      </w:pPr>
      <w:r w:rsidRPr="0029310E">
        <w:rPr>
          <w:rFonts w:ascii="Times New Roman" w:hAnsi="Times New Roman"/>
          <w:bCs/>
          <w:iCs/>
        </w:rPr>
        <w:t xml:space="preserve">Come ammesso dalla stessa Autorità, “in condizioni di particolare difficoltà organizzativa, adeguatamente motivata la mappatura dei processi può essere realizzata al massimo entro il 2017”. </w:t>
      </w:r>
    </w:p>
    <w:p w:rsidR="00C064DD" w:rsidRPr="0029310E" w:rsidRDefault="00C064DD" w:rsidP="0037688C">
      <w:pPr>
        <w:autoSpaceDE w:val="0"/>
        <w:autoSpaceDN w:val="0"/>
        <w:adjustRightInd w:val="0"/>
        <w:jc w:val="both"/>
        <w:rPr>
          <w:rFonts w:ascii="Times New Roman" w:hAnsi="Times New Roman"/>
          <w:bCs/>
          <w:i/>
          <w:iCs/>
        </w:rPr>
      </w:pPr>
      <w:r w:rsidRPr="0029310E">
        <w:rPr>
          <w:rFonts w:ascii="Times New Roman" w:hAnsi="Times New Roman"/>
          <w:bCs/>
          <w:iCs/>
        </w:rPr>
        <w:t xml:space="preserve">In merito alla mappatura dei processi questa amministrazione aderisce al suggerimento fornito dall’ANCI nelle LINEE PER LA PREVENZIONE DELLA CORRUZIONE - SUGGERIMENTI PER I PICCOLI COMUNI E AGGREGAZIONI del settembre 2016 che scrive: </w:t>
      </w:r>
      <w:r w:rsidRPr="0029310E">
        <w:rPr>
          <w:rFonts w:ascii="Times New Roman" w:hAnsi="Times New Roman"/>
          <w:bCs/>
          <w:i/>
          <w:iCs/>
        </w:rPr>
        <w:t>La mappatura grafica e tabellare dei processi, richiede tempo e disponibilità di risorse umane da dedicare alle attività di analisi dei processi. I Piccoli Comuni possono limitarsi ad elencare i propri processi , rinunciando a realizzare la mappatura tabellare o grafica di ciascun processo. L’importante è identificare gli eventi di corruzione che si possono verificare nei processi individuati.</w:t>
      </w:r>
    </w:p>
    <w:p w:rsidR="00C064DD" w:rsidRPr="0029310E" w:rsidRDefault="00C064DD" w:rsidP="0037688C">
      <w:pPr>
        <w:autoSpaceDE w:val="0"/>
        <w:autoSpaceDN w:val="0"/>
        <w:adjustRightInd w:val="0"/>
        <w:spacing w:after="0" w:line="240" w:lineRule="auto"/>
        <w:jc w:val="both"/>
        <w:rPr>
          <w:rFonts w:ascii="Times New Roman" w:hAnsi="Times New Roman"/>
          <w:bCs/>
          <w:iCs/>
        </w:rPr>
      </w:pPr>
      <w:r w:rsidRPr="0029310E">
        <w:rPr>
          <w:rFonts w:ascii="Times New Roman" w:hAnsi="Times New Roman"/>
          <w:bCs/>
          <w:iCs/>
        </w:rPr>
        <w:t>Si riportano, pertanto, qui di seguito l’elenco dei processi tipici che caratterizzano un’amministrazione locale, organizzati secondo le tre macro-categorie dei processi di governo, processi operativi e processi di supporto.</w:t>
      </w:r>
    </w:p>
    <w:p w:rsidR="00C064DD" w:rsidRPr="0029310E" w:rsidRDefault="00C064DD" w:rsidP="0037688C">
      <w:pPr>
        <w:pStyle w:val="Corpotesto"/>
        <w:jc w:val="both"/>
        <w:rPr>
          <w:rFonts w:ascii="Times New Roman" w:hAnsi="Times New Roman" w:cs="Times New Roman"/>
          <w:bCs/>
          <w:iCs/>
          <w:kern w:val="0"/>
          <w:lang w:eastAsia="en-US" w:bidi="ar-SA"/>
        </w:rPr>
      </w:pPr>
      <w:r w:rsidRPr="0029310E">
        <w:rPr>
          <w:rFonts w:ascii="Times New Roman" w:hAnsi="Times New Roman" w:cs="Times New Roman"/>
          <w:bCs/>
          <w:iCs/>
          <w:kern w:val="0"/>
          <w:lang w:eastAsia="en-US" w:bidi="ar-SA"/>
        </w:rPr>
        <w:t xml:space="preserve">La mappatura completa dei principali processi di governo, dei processi operativi e dei processi di supporto dell’ente è riportata nelle tabelle seguenti. </w:t>
      </w:r>
    </w:p>
    <w:p w:rsidR="00C064DD" w:rsidRPr="0029310E" w:rsidRDefault="00C064DD" w:rsidP="0037688C">
      <w:pPr>
        <w:pStyle w:val="Corpotesto"/>
        <w:jc w:val="both"/>
        <w:rPr>
          <w:rFonts w:ascii="Times New Roman" w:hAnsi="Times New Roman" w:cs="Times New Roman"/>
          <w:bCs/>
          <w:iCs/>
          <w:kern w:val="0"/>
          <w:lang w:eastAsia="en-US" w:bidi="ar-SA"/>
        </w:rPr>
      </w:pPr>
    </w:p>
    <w:tbl>
      <w:tblPr>
        <w:tblW w:w="8320" w:type="dxa"/>
        <w:tblInd w:w="50" w:type="dxa"/>
        <w:tblCellMar>
          <w:left w:w="70" w:type="dxa"/>
          <w:right w:w="70" w:type="dxa"/>
        </w:tblCellMar>
        <w:tblLook w:val="00A0" w:firstRow="1" w:lastRow="0" w:firstColumn="1" w:lastColumn="0" w:noHBand="0" w:noVBand="0"/>
      </w:tblPr>
      <w:tblGrid>
        <w:gridCol w:w="380"/>
        <w:gridCol w:w="7940"/>
      </w:tblGrid>
      <w:tr w:rsidR="00C064DD" w:rsidRPr="0029310E" w:rsidTr="0037688C">
        <w:trPr>
          <w:trHeight w:val="324"/>
        </w:trPr>
        <w:tc>
          <w:tcPr>
            <w:tcW w:w="380" w:type="dxa"/>
            <w:tcBorders>
              <w:top w:val="single" w:sz="4" w:space="0" w:color="auto"/>
              <w:left w:val="single" w:sz="4" w:space="0" w:color="auto"/>
              <w:bottom w:val="single" w:sz="4" w:space="0" w:color="auto"/>
              <w:right w:val="single" w:sz="4" w:space="0" w:color="auto"/>
            </w:tcBorders>
            <w:shd w:val="clear" w:color="000000" w:fill="D7E4BC"/>
            <w:vAlign w:val="bottom"/>
          </w:tcPr>
          <w:p w:rsidR="00C064DD" w:rsidRPr="0029310E" w:rsidRDefault="00C064DD" w:rsidP="0037688C">
            <w:pPr>
              <w:spacing w:after="0"/>
              <w:jc w:val="center"/>
              <w:rPr>
                <w:rFonts w:ascii="Book Antiqua" w:hAnsi="Book Antiqua"/>
                <w:b/>
                <w:bCs/>
                <w:color w:val="000000"/>
              </w:rPr>
            </w:pPr>
            <w:r w:rsidRPr="0029310E">
              <w:rPr>
                <w:rFonts w:ascii="Book Antiqua" w:hAnsi="Book Antiqua"/>
                <w:b/>
                <w:bCs/>
                <w:color w:val="000000"/>
              </w:rPr>
              <w:t>n.</w:t>
            </w:r>
          </w:p>
        </w:tc>
        <w:tc>
          <w:tcPr>
            <w:tcW w:w="7940" w:type="dxa"/>
            <w:tcBorders>
              <w:top w:val="single" w:sz="4" w:space="0" w:color="auto"/>
              <w:left w:val="nil"/>
              <w:bottom w:val="single" w:sz="4" w:space="0" w:color="auto"/>
              <w:right w:val="single" w:sz="4" w:space="0" w:color="000000"/>
            </w:tcBorders>
            <w:shd w:val="clear" w:color="000000" w:fill="D7E4BC"/>
            <w:vAlign w:val="bottom"/>
          </w:tcPr>
          <w:p w:rsidR="00C064DD" w:rsidRPr="0029310E" w:rsidRDefault="00C064DD" w:rsidP="0037688C">
            <w:pPr>
              <w:spacing w:after="0"/>
              <w:jc w:val="center"/>
              <w:rPr>
                <w:rFonts w:ascii="Book Antiqua" w:hAnsi="Book Antiqua"/>
                <w:b/>
                <w:bCs/>
                <w:color w:val="000000"/>
              </w:rPr>
            </w:pPr>
            <w:r w:rsidRPr="0029310E">
              <w:rPr>
                <w:rFonts w:ascii="Book Antiqua" w:hAnsi="Book Antiqua"/>
                <w:b/>
                <w:bCs/>
                <w:color w:val="000000"/>
              </w:rPr>
              <w:t xml:space="preserve"> processi di governo  </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1</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stesura e approvazione delle "linee programmatiche"</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2</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 xml:space="preserve">stesura ed approvazione del documento unico di programmazione </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3</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stesura ed approvazione del programma triennale delle opere pubbliche</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4</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 xml:space="preserve">stesura ed approvazione del bilancio pluriennale </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5</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stesura ed approvazione dell'elenco annuale delle opere pubbliche</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6</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 xml:space="preserve">stesura ed approvazione del bilancio annuale </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7</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stesura ed approvazione del PEG</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8</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stesura ed approvazione del piano dettagliato degli obiettivi</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9</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stesura ed approvazione del piano di razionalizzazione della spesa</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10</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controllo politico amministrativo</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11</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controllo di gestione</w:t>
            </w:r>
          </w:p>
        </w:tc>
      </w:tr>
      <w:tr w:rsidR="00C064DD" w:rsidRPr="0029310E" w:rsidTr="0037688C">
        <w:trPr>
          <w:trHeight w:val="312"/>
        </w:trPr>
        <w:tc>
          <w:tcPr>
            <w:tcW w:w="380" w:type="dxa"/>
            <w:tcBorders>
              <w:top w:val="nil"/>
              <w:left w:val="single" w:sz="4" w:space="0" w:color="auto"/>
              <w:bottom w:val="single" w:sz="4" w:space="0" w:color="auto"/>
              <w:right w:val="single" w:sz="4" w:space="0" w:color="auto"/>
            </w:tcBorders>
            <w:vAlign w:val="bottom"/>
          </w:tcPr>
          <w:p w:rsidR="00C064DD" w:rsidRPr="0029310E" w:rsidRDefault="00C064DD" w:rsidP="0037688C">
            <w:pPr>
              <w:spacing w:after="0"/>
              <w:jc w:val="center"/>
              <w:rPr>
                <w:rFonts w:ascii="Book Antiqua" w:hAnsi="Book Antiqua"/>
                <w:color w:val="000000"/>
              </w:rPr>
            </w:pPr>
            <w:r w:rsidRPr="0029310E">
              <w:rPr>
                <w:rFonts w:ascii="Book Antiqua" w:hAnsi="Book Antiqua"/>
                <w:color w:val="000000"/>
              </w:rPr>
              <w:t>12</w:t>
            </w:r>
          </w:p>
        </w:tc>
        <w:tc>
          <w:tcPr>
            <w:tcW w:w="7940" w:type="dxa"/>
            <w:tcBorders>
              <w:top w:val="single" w:sz="4" w:space="0" w:color="auto"/>
              <w:left w:val="nil"/>
              <w:bottom w:val="single" w:sz="4" w:space="0" w:color="auto"/>
              <w:right w:val="single" w:sz="4" w:space="0" w:color="000000"/>
            </w:tcBorders>
            <w:vAlign w:val="bottom"/>
          </w:tcPr>
          <w:p w:rsidR="00C064DD" w:rsidRPr="0029310E" w:rsidRDefault="00C064DD" w:rsidP="0037688C">
            <w:pPr>
              <w:spacing w:after="0"/>
              <w:rPr>
                <w:rFonts w:ascii="Book Antiqua" w:hAnsi="Book Antiqua"/>
                <w:color w:val="000000"/>
                <w:sz w:val="20"/>
                <w:szCs w:val="20"/>
              </w:rPr>
            </w:pPr>
            <w:r w:rsidRPr="0029310E">
              <w:rPr>
                <w:rFonts w:ascii="Book Antiqua" w:hAnsi="Book Antiqua"/>
                <w:color w:val="000000"/>
                <w:sz w:val="20"/>
                <w:szCs w:val="20"/>
              </w:rPr>
              <w:t>controllo di revisione contabile</w:t>
            </w:r>
          </w:p>
        </w:tc>
      </w:tr>
    </w:tbl>
    <w:p w:rsidR="00C064DD" w:rsidRPr="0029310E" w:rsidRDefault="00C064DD" w:rsidP="0037688C">
      <w:pPr>
        <w:pStyle w:val="Corpotesto"/>
        <w:jc w:val="both"/>
        <w:rPr>
          <w:rFonts w:ascii="Times New Roman" w:hAnsi="Times New Roman" w:cs="Times New Roman"/>
          <w:bCs/>
          <w:iCs/>
          <w:sz w:val="24"/>
        </w:rPr>
      </w:pPr>
    </w:p>
    <w:p w:rsidR="00C064DD" w:rsidRPr="0029310E" w:rsidRDefault="00C064DD" w:rsidP="0037688C">
      <w:pPr>
        <w:pStyle w:val="Corpotesto"/>
        <w:jc w:val="both"/>
        <w:rPr>
          <w:rFonts w:ascii="Times New Roman" w:hAnsi="Times New Roman" w:cs="Times New Roman"/>
          <w:b/>
          <w:bCs/>
          <w:iCs/>
          <w:color w:val="FF0000"/>
          <w:sz w:val="32"/>
          <w:szCs w:val="32"/>
        </w:rPr>
      </w:pPr>
    </w:p>
    <w:tbl>
      <w:tblPr>
        <w:tblW w:w="8835" w:type="dxa"/>
        <w:tblInd w:w="55" w:type="dxa"/>
        <w:tblCellMar>
          <w:left w:w="70" w:type="dxa"/>
          <w:right w:w="70" w:type="dxa"/>
        </w:tblCellMar>
        <w:tblLook w:val="0000" w:firstRow="0" w:lastRow="0" w:firstColumn="0" w:lastColumn="0" w:noHBand="0" w:noVBand="0"/>
      </w:tblPr>
      <w:tblGrid>
        <w:gridCol w:w="3720"/>
        <w:gridCol w:w="5115"/>
      </w:tblGrid>
      <w:tr w:rsidR="00C064DD" w:rsidRPr="0029310E" w:rsidTr="0037688C">
        <w:trPr>
          <w:trHeight w:val="315"/>
        </w:trPr>
        <w:tc>
          <w:tcPr>
            <w:tcW w:w="8835" w:type="dxa"/>
            <w:gridSpan w:val="2"/>
            <w:tcBorders>
              <w:top w:val="single" w:sz="8" w:space="0" w:color="auto"/>
              <w:left w:val="single" w:sz="8" w:space="0" w:color="auto"/>
              <w:bottom w:val="single" w:sz="4" w:space="0" w:color="auto"/>
              <w:right w:val="single" w:sz="8" w:space="0" w:color="000000"/>
            </w:tcBorders>
            <w:vAlign w:val="center"/>
          </w:tcPr>
          <w:p w:rsidR="00C064DD" w:rsidRPr="0029310E" w:rsidRDefault="00C064DD" w:rsidP="0037688C">
            <w:pPr>
              <w:spacing w:after="0" w:line="240" w:lineRule="auto"/>
              <w:jc w:val="center"/>
              <w:rPr>
                <w:rFonts w:ascii="Times New Roman" w:hAnsi="Times New Roman"/>
                <w:b/>
                <w:bCs/>
                <w:lang w:eastAsia="it-IT"/>
              </w:rPr>
            </w:pPr>
            <w:r w:rsidRPr="0029310E">
              <w:rPr>
                <w:rFonts w:ascii="Times New Roman" w:hAnsi="Times New Roman"/>
                <w:b/>
                <w:bCs/>
                <w:lang w:eastAsia="it-IT"/>
              </w:rPr>
              <w:t>PROCESSI OPERATIVI</w:t>
            </w:r>
          </w:p>
        </w:tc>
      </w:tr>
      <w:tr w:rsidR="00C064DD" w:rsidRPr="0029310E" w:rsidTr="0037688C">
        <w:trPr>
          <w:trHeight w:val="315"/>
        </w:trPr>
        <w:tc>
          <w:tcPr>
            <w:tcW w:w="3720" w:type="dxa"/>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b/>
                <w:bCs/>
                <w:lang w:eastAsia="it-IT"/>
              </w:rPr>
            </w:pPr>
            <w:r w:rsidRPr="0029310E">
              <w:rPr>
                <w:rFonts w:ascii="Times New Roman" w:hAnsi="Times New Roman"/>
                <w:b/>
                <w:bCs/>
                <w:lang w:eastAsia="it-IT"/>
              </w:rPr>
              <w:t>Processi</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b/>
                <w:bCs/>
                <w:lang w:eastAsia="it-IT"/>
              </w:rPr>
            </w:pPr>
            <w:r w:rsidRPr="0029310E">
              <w:rPr>
                <w:rFonts w:ascii="Times New Roman" w:hAnsi="Times New Roman"/>
                <w:b/>
                <w:bCs/>
                <w:lang w:eastAsia="it-IT"/>
              </w:rPr>
              <w:t xml:space="preserve"> Sotto-processi</w:t>
            </w:r>
          </w:p>
        </w:tc>
      </w:tr>
      <w:tr w:rsidR="00C064DD" w:rsidRPr="0029310E"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servizi demografici, stato civile, elettorali</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Pratiche anagrafiche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Documenti d'identità</w:t>
            </w:r>
          </w:p>
        </w:tc>
      </w:tr>
      <w:tr w:rsidR="00C064DD" w:rsidRPr="0029310E" w:rsidTr="0037688C">
        <w:trPr>
          <w:trHeight w:val="630"/>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Certificazione anagrafica</w:t>
            </w:r>
          </w:p>
        </w:tc>
      </w:tr>
      <w:tr w:rsidR="00C064DD" w:rsidRPr="0029310E" w:rsidTr="0037688C">
        <w:trPr>
          <w:trHeight w:val="411"/>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Atti nascita - morte - matrimonio - cittadinanza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leva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Archivio elettori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Consultazioni elettorali</w:t>
            </w:r>
          </w:p>
        </w:tc>
      </w:tr>
      <w:tr w:rsidR="00C064DD" w:rsidRPr="0029310E" w:rsidTr="0037688C">
        <w:trPr>
          <w:trHeight w:val="630"/>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servizi sociali </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Servizi assistenziali e socio-sanitari per anziani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Servizi per minori e famiglie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Servizi per disabili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Alloggi popolari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Servizi per adulti in difficoltà</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Integrazione cittadini stranieri</w:t>
            </w:r>
          </w:p>
        </w:tc>
      </w:tr>
      <w:tr w:rsidR="00C064DD" w:rsidRPr="0029310E"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servizi educativi </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Asili nido - Servizi 0-3 anni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Scuole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Servizi per il diritto allo studio</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Sostegno scolastico</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Trasporto scolastico</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Refezione scolastica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Doposcuola</w:t>
            </w:r>
          </w:p>
        </w:tc>
      </w:tr>
      <w:tr w:rsidR="00C064DD" w:rsidRPr="0029310E" w:rsidTr="0037688C">
        <w:trPr>
          <w:trHeight w:val="315"/>
        </w:trPr>
        <w:tc>
          <w:tcPr>
            <w:tcW w:w="3720" w:type="dxa"/>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servizi cimiteriali</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w:t>
            </w:r>
          </w:p>
        </w:tc>
      </w:tr>
      <w:tr w:rsidR="00C064DD" w:rsidRPr="0029310E"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servizi culturali e sportivi </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Organizzazione e partecipazione eventi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biblioteche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musei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impianti sportivi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associazioni culturali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pari opportunità</w:t>
            </w:r>
          </w:p>
        </w:tc>
      </w:tr>
      <w:tr w:rsidR="00C064DD" w:rsidRPr="0029310E"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turismo</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 Marketing territoriale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punti informazione</w:t>
            </w:r>
          </w:p>
        </w:tc>
      </w:tr>
      <w:tr w:rsidR="00C064DD" w:rsidRPr="0029310E"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mobilità e viabilità</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 Manutenzione strade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circolazione e sosta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segnaletica,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trasporto pubblico locale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Rimozione neve</w:t>
            </w:r>
          </w:p>
        </w:tc>
      </w:tr>
      <w:tr w:rsidR="00C064DD" w:rsidRPr="0029310E"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del territorio e ambiente-mantenimento</w:t>
            </w: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Pulizia strade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Raccolta e smaltimento rifiuti</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Manutenzione verde</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corsi d'acqua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servizio idrico</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illuminazione pubblica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Pianificazione urbanistica</w:t>
            </w:r>
          </w:p>
        </w:tc>
      </w:tr>
      <w:tr w:rsidR="00C064DD" w:rsidRPr="0029310E" w:rsidTr="0037688C">
        <w:trPr>
          <w:trHeight w:val="330"/>
        </w:trPr>
        <w:tc>
          <w:tcPr>
            <w:tcW w:w="372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territorio-pianificazione </w:t>
            </w: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OOPP</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Edilizia privata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Edilizia pubblica</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Piani controllo inquinamento</w:t>
            </w:r>
          </w:p>
        </w:tc>
      </w:tr>
      <w:tr w:rsidR="00C064DD" w:rsidRPr="0029310E"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protezione civile</w:t>
            </w:r>
          </w:p>
        </w:tc>
      </w:tr>
      <w:tr w:rsidR="00C064DD" w:rsidRPr="0029310E" w:rsidTr="0037688C">
        <w:trPr>
          <w:trHeight w:val="315"/>
        </w:trPr>
        <w:tc>
          <w:tcPr>
            <w:tcW w:w="3720" w:type="dxa"/>
            <w:vMerge w:val="restart"/>
            <w:tcBorders>
              <w:top w:val="nil"/>
              <w:left w:val="single" w:sz="8" w:space="0" w:color="auto"/>
              <w:bottom w:val="nil"/>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servizi polizia locale</w:t>
            </w: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sicurezza</w:t>
            </w:r>
          </w:p>
        </w:tc>
      </w:tr>
      <w:tr w:rsidR="00C064DD" w:rsidRPr="0029310E" w:rsidTr="0037688C">
        <w:trPr>
          <w:trHeight w:val="315"/>
        </w:trPr>
        <w:tc>
          <w:tcPr>
            <w:tcW w:w="3720" w:type="dxa"/>
            <w:vMerge/>
            <w:tcBorders>
              <w:top w:val="nil"/>
              <w:left w:val="single" w:sz="8" w:space="0" w:color="auto"/>
              <w:bottom w:val="nil"/>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Controllo commercio</w:t>
            </w:r>
          </w:p>
        </w:tc>
      </w:tr>
      <w:tr w:rsidR="00C064DD" w:rsidRPr="0029310E" w:rsidTr="0037688C">
        <w:trPr>
          <w:trHeight w:val="315"/>
        </w:trPr>
        <w:tc>
          <w:tcPr>
            <w:tcW w:w="3720" w:type="dxa"/>
            <w:vMerge/>
            <w:tcBorders>
              <w:top w:val="nil"/>
              <w:left w:val="single" w:sz="8" w:space="0" w:color="auto"/>
              <w:bottom w:val="nil"/>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Attività di prevenzione</w:t>
            </w:r>
          </w:p>
        </w:tc>
      </w:tr>
      <w:tr w:rsidR="00C064DD" w:rsidRPr="0029310E" w:rsidTr="0037688C">
        <w:trPr>
          <w:trHeight w:val="315"/>
        </w:trPr>
        <w:tc>
          <w:tcPr>
            <w:tcW w:w="3720" w:type="dxa"/>
            <w:vMerge/>
            <w:tcBorders>
              <w:top w:val="nil"/>
              <w:left w:val="single" w:sz="8" w:space="0" w:color="auto"/>
              <w:bottom w:val="nil"/>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accertamenti</w:t>
            </w:r>
          </w:p>
        </w:tc>
      </w:tr>
      <w:tr w:rsidR="00C064DD" w:rsidRPr="0029310E" w:rsidTr="0037688C">
        <w:trPr>
          <w:trHeight w:val="315"/>
        </w:trPr>
        <w:tc>
          <w:tcPr>
            <w:tcW w:w="3720" w:type="dxa"/>
            <w:vMerge/>
            <w:tcBorders>
              <w:top w:val="nil"/>
              <w:left w:val="single" w:sz="8" w:space="0" w:color="auto"/>
              <w:bottom w:val="nil"/>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nil"/>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Emissione e notifica atti giudiziari</w:t>
            </w:r>
          </w:p>
        </w:tc>
      </w:tr>
      <w:tr w:rsidR="00C064DD" w:rsidRPr="0029310E" w:rsidTr="0037688C">
        <w:trPr>
          <w:trHeight w:val="315"/>
        </w:trPr>
        <w:tc>
          <w:tcPr>
            <w:tcW w:w="3720" w:type="dxa"/>
            <w:vMerge w:val="restart"/>
            <w:tcBorders>
              <w:top w:val="single" w:sz="4" w:space="0" w:color="auto"/>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attività produttive -SUAP</w:t>
            </w:r>
          </w:p>
        </w:tc>
        <w:tc>
          <w:tcPr>
            <w:tcW w:w="5115" w:type="dxa"/>
            <w:tcBorders>
              <w:top w:val="single" w:sz="4" w:space="0" w:color="auto"/>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 Gestione agricoltura</w:t>
            </w:r>
          </w:p>
        </w:tc>
      </w:tr>
      <w:tr w:rsidR="00C064DD" w:rsidRPr="0029310E" w:rsidTr="0037688C">
        <w:trPr>
          <w:trHeight w:val="315"/>
        </w:trPr>
        <w:tc>
          <w:tcPr>
            <w:tcW w:w="3720" w:type="dxa"/>
            <w:vMerge/>
            <w:tcBorders>
              <w:top w:val="single" w:sz="4" w:space="0" w:color="auto"/>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commercio e industria</w:t>
            </w:r>
          </w:p>
        </w:tc>
      </w:tr>
      <w:tr w:rsidR="00C064DD" w:rsidRPr="0029310E" w:rsidTr="0037688C">
        <w:trPr>
          <w:trHeight w:val="330"/>
        </w:trPr>
        <w:tc>
          <w:tcPr>
            <w:tcW w:w="3720" w:type="dxa"/>
            <w:tcBorders>
              <w:top w:val="nil"/>
              <w:left w:val="single" w:sz="8" w:space="0" w:color="auto"/>
              <w:bottom w:val="single" w:sz="8"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aziende municipalizzate </w:t>
            </w:r>
          </w:p>
        </w:tc>
        <w:tc>
          <w:tcPr>
            <w:tcW w:w="5115" w:type="dxa"/>
            <w:tcBorders>
              <w:top w:val="nil"/>
              <w:left w:val="nil"/>
              <w:bottom w:val="single" w:sz="8" w:space="0" w:color="auto"/>
              <w:right w:val="single" w:sz="8" w:space="0" w:color="auto"/>
            </w:tcBorders>
            <w:noWrap/>
            <w:vAlign w:val="bottom"/>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w:t>
            </w:r>
          </w:p>
        </w:tc>
      </w:tr>
    </w:tbl>
    <w:p w:rsidR="00C064DD" w:rsidRPr="0029310E" w:rsidRDefault="00C064DD" w:rsidP="0037688C">
      <w:pPr>
        <w:pStyle w:val="Corpotesto"/>
        <w:jc w:val="both"/>
        <w:rPr>
          <w:rFonts w:ascii="Times New Roman" w:hAnsi="Times New Roman" w:cs="Times New Roman"/>
          <w:bCs/>
          <w:iCs/>
        </w:rPr>
      </w:pPr>
    </w:p>
    <w:tbl>
      <w:tblPr>
        <w:tblW w:w="8800" w:type="dxa"/>
        <w:tblInd w:w="55" w:type="dxa"/>
        <w:tblCellMar>
          <w:left w:w="70" w:type="dxa"/>
          <w:right w:w="70" w:type="dxa"/>
        </w:tblCellMar>
        <w:tblLook w:val="0000" w:firstRow="0" w:lastRow="0" w:firstColumn="0" w:lastColumn="0" w:noHBand="0" w:noVBand="0"/>
      </w:tblPr>
      <w:tblGrid>
        <w:gridCol w:w="3560"/>
        <w:gridCol w:w="5240"/>
      </w:tblGrid>
      <w:tr w:rsidR="00C064DD" w:rsidRPr="0029310E" w:rsidTr="0037688C">
        <w:trPr>
          <w:trHeight w:val="315"/>
        </w:trPr>
        <w:tc>
          <w:tcPr>
            <w:tcW w:w="8800" w:type="dxa"/>
            <w:gridSpan w:val="2"/>
            <w:tcBorders>
              <w:top w:val="single" w:sz="8" w:space="0" w:color="auto"/>
              <w:left w:val="single" w:sz="8" w:space="0" w:color="auto"/>
              <w:bottom w:val="single" w:sz="4" w:space="0" w:color="auto"/>
              <w:right w:val="single" w:sz="8" w:space="0" w:color="000000"/>
            </w:tcBorders>
            <w:vAlign w:val="center"/>
          </w:tcPr>
          <w:p w:rsidR="00C064DD" w:rsidRPr="0029310E" w:rsidRDefault="00C064DD" w:rsidP="0037688C">
            <w:pPr>
              <w:spacing w:after="0" w:line="240" w:lineRule="auto"/>
              <w:jc w:val="center"/>
              <w:rPr>
                <w:rFonts w:ascii="Times New Roman" w:hAnsi="Times New Roman"/>
                <w:b/>
                <w:bCs/>
                <w:lang w:eastAsia="it-IT"/>
              </w:rPr>
            </w:pPr>
            <w:r w:rsidRPr="0029310E">
              <w:rPr>
                <w:rFonts w:ascii="Times New Roman" w:hAnsi="Times New Roman"/>
                <w:b/>
                <w:bCs/>
                <w:lang w:eastAsia="it-IT"/>
              </w:rPr>
              <w:t>PROCESSI DI SUPPORTO</w:t>
            </w:r>
          </w:p>
        </w:tc>
      </w:tr>
      <w:tr w:rsidR="00C064DD" w:rsidRPr="0029310E" w:rsidTr="0037688C">
        <w:trPr>
          <w:trHeight w:val="315"/>
        </w:trPr>
        <w:tc>
          <w:tcPr>
            <w:tcW w:w="3560" w:type="dxa"/>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b/>
                <w:bCs/>
                <w:lang w:eastAsia="it-IT"/>
              </w:rPr>
            </w:pPr>
            <w:r w:rsidRPr="0029310E">
              <w:rPr>
                <w:rFonts w:ascii="Times New Roman" w:hAnsi="Times New Roman"/>
                <w:b/>
                <w:bCs/>
                <w:lang w:eastAsia="it-IT"/>
              </w:rPr>
              <w:t>Processi</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b/>
                <w:bCs/>
                <w:lang w:eastAsia="it-IT"/>
              </w:rPr>
            </w:pPr>
            <w:r w:rsidRPr="0029310E">
              <w:rPr>
                <w:rFonts w:ascii="Times New Roman" w:hAnsi="Times New Roman"/>
                <w:b/>
                <w:bCs/>
                <w:lang w:eastAsia="it-IT"/>
              </w:rPr>
              <w:t xml:space="preserve"> Sotto-processi</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risorse economico finanziarie</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 Gestione delle entrate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delle uscite</w:t>
            </w:r>
          </w:p>
        </w:tc>
      </w:tr>
      <w:tr w:rsidR="00C064DD" w:rsidRPr="0029310E" w:rsidTr="0037688C">
        <w:trPr>
          <w:trHeight w:val="630"/>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Monitoraggio movimenti economico-finanziari e flussi di cassa</w:t>
            </w:r>
          </w:p>
        </w:tc>
      </w:tr>
      <w:tr w:rsidR="00C064DD" w:rsidRPr="0029310E" w:rsidTr="0037688C">
        <w:trPr>
          <w:trHeight w:val="630"/>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Adempimenti fiscali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e manutenzione beni mobili</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sistemi informatici </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e manutenzione hardware e software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Disaster recovery e backup</w:t>
            </w:r>
          </w:p>
        </w:tc>
      </w:tr>
      <w:tr w:rsidR="00C064DD" w:rsidRPr="0029310E" w:rsidTr="0037688C">
        <w:trPr>
          <w:trHeight w:val="280"/>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Comunicazione interna</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documentale</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Documenti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Archivio</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Protocollo</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risorse umane</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Selezione e assunzione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aspetti giuridici e economici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Formazione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Valutazione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Relazioni sindacali</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segreteria </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Delibere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Determine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Ordinanze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Notifiche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Albo pretorio</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Organi istituzionali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Reclami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Comunicazione esterna</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Accesso agli atti e trasparenza</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Semplificazione amministrativa</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Raccolta dati customer satisfaction</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sito web Gestione redazione</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Informazione ai cittadini</w:t>
            </w:r>
          </w:p>
        </w:tc>
      </w:tr>
      <w:tr w:rsidR="00C064DD" w:rsidRPr="0029310E" w:rsidTr="0037688C">
        <w:trPr>
          <w:trHeight w:val="315"/>
        </w:trPr>
        <w:tc>
          <w:tcPr>
            <w:tcW w:w="3560" w:type="dxa"/>
            <w:vMerge w:val="restart"/>
            <w:tcBorders>
              <w:top w:val="single" w:sz="4" w:space="0" w:color="auto"/>
              <w:left w:val="single" w:sz="4"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gare e appalti</w:t>
            </w:r>
          </w:p>
        </w:tc>
        <w:tc>
          <w:tcPr>
            <w:tcW w:w="5240" w:type="dxa"/>
            <w:tcBorders>
              <w:top w:val="single" w:sz="4" w:space="0" w:color="auto"/>
              <w:left w:val="nil"/>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Sale dell'amministrazione locale (es. sale comunali)</w:t>
            </w:r>
          </w:p>
        </w:tc>
      </w:tr>
      <w:tr w:rsidR="00C064DD" w:rsidRPr="0029310E" w:rsidTr="0037688C">
        <w:trPr>
          <w:trHeight w:val="315"/>
        </w:trPr>
        <w:tc>
          <w:tcPr>
            <w:tcW w:w="3560" w:type="dxa"/>
            <w:vMerge/>
            <w:tcBorders>
              <w:top w:val="single" w:sz="4" w:space="0" w:color="auto"/>
              <w:left w:val="single" w:sz="4"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Gare ad evidenza pubblica</w:t>
            </w:r>
          </w:p>
        </w:tc>
      </w:tr>
      <w:tr w:rsidR="00C064DD" w:rsidRPr="0029310E" w:rsidTr="0037688C">
        <w:trPr>
          <w:trHeight w:val="315"/>
        </w:trPr>
        <w:tc>
          <w:tcPr>
            <w:tcW w:w="3560" w:type="dxa"/>
            <w:vMerge/>
            <w:tcBorders>
              <w:top w:val="single" w:sz="4" w:space="0" w:color="auto"/>
              <w:left w:val="single" w:sz="4"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Fornitura beni e servizi e gestione lavori in economia</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xml:space="preserve">Gestione servizi legali </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Stipula contratti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Azioni di supporto giuridico</w:t>
            </w:r>
          </w:p>
        </w:tc>
      </w:tr>
      <w:tr w:rsidR="00C064DD" w:rsidRPr="0029310E" w:rsidTr="0037688C">
        <w:trPr>
          <w:trHeight w:val="315"/>
        </w:trPr>
        <w:tc>
          <w:tcPr>
            <w:tcW w:w="3560" w:type="dxa"/>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sicurezza ambienti di lavoro</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Raccolta e trattamento dati</w:t>
            </w:r>
          </w:p>
        </w:tc>
      </w:tr>
      <w:tr w:rsidR="00C064DD" w:rsidRPr="0029310E"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fornitori+outsourcing</w:t>
            </w: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Selezione fornitori</w:t>
            </w:r>
          </w:p>
        </w:tc>
      </w:tr>
      <w:tr w:rsidR="00C064DD" w:rsidRPr="0029310E"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Valutazione fornitori</w:t>
            </w:r>
          </w:p>
        </w:tc>
      </w:tr>
      <w:tr w:rsidR="00C064DD" w:rsidRPr="0029310E" w:rsidTr="0037688C">
        <w:trPr>
          <w:trHeight w:val="330"/>
        </w:trPr>
        <w:tc>
          <w:tcPr>
            <w:tcW w:w="3560" w:type="dxa"/>
            <w:tcBorders>
              <w:top w:val="nil"/>
              <w:left w:val="single" w:sz="8" w:space="0" w:color="auto"/>
              <w:bottom w:val="single" w:sz="8" w:space="0" w:color="auto"/>
              <w:right w:val="single" w:sz="4"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Gestione delle partnership</w:t>
            </w:r>
          </w:p>
        </w:tc>
        <w:tc>
          <w:tcPr>
            <w:tcW w:w="5240" w:type="dxa"/>
            <w:tcBorders>
              <w:top w:val="nil"/>
              <w:left w:val="nil"/>
              <w:bottom w:val="single" w:sz="8" w:space="0" w:color="auto"/>
              <w:right w:val="single" w:sz="8" w:space="0" w:color="auto"/>
            </w:tcBorders>
            <w:vAlign w:val="center"/>
          </w:tcPr>
          <w:p w:rsidR="00C064DD" w:rsidRPr="0029310E" w:rsidRDefault="00C064DD" w:rsidP="0037688C">
            <w:pPr>
              <w:spacing w:after="0" w:line="240" w:lineRule="auto"/>
              <w:rPr>
                <w:rFonts w:ascii="Times New Roman" w:hAnsi="Times New Roman"/>
                <w:lang w:eastAsia="it-IT"/>
              </w:rPr>
            </w:pPr>
            <w:r w:rsidRPr="0029310E">
              <w:rPr>
                <w:rFonts w:ascii="Times New Roman" w:hAnsi="Times New Roman"/>
                <w:lang w:eastAsia="it-IT"/>
              </w:rPr>
              <w:t> </w:t>
            </w:r>
          </w:p>
        </w:tc>
      </w:tr>
    </w:tbl>
    <w:p w:rsidR="00C064DD" w:rsidRPr="0029310E" w:rsidRDefault="00C064DD" w:rsidP="0037688C">
      <w:pPr>
        <w:pStyle w:val="Corpotesto"/>
        <w:jc w:val="both"/>
        <w:rPr>
          <w:rFonts w:ascii="Times New Roman" w:hAnsi="Times New Roman" w:cs="Times New Roman"/>
          <w:bCs/>
          <w:iCs/>
        </w:rPr>
      </w:pPr>
    </w:p>
    <w:p w:rsidR="00C064DD" w:rsidRPr="0029310E" w:rsidRDefault="00C064DD" w:rsidP="0037688C">
      <w:pPr>
        <w:pStyle w:val="Nessunaspaziatura"/>
        <w:rPr>
          <w:rFonts w:ascii="Times New Roman" w:hAnsi="Times New Roman"/>
        </w:rPr>
      </w:pPr>
      <w:r w:rsidRPr="0029310E">
        <w:rPr>
          <w:rFonts w:ascii="Times New Roman" w:hAnsi="Times New Roman"/>
        </w:rPr>
        <w:t>In allegato (ALLEGATO A) , chi legge può trovare le schede di valutazione del rischio di tutte le attività analizzate.</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Nella colonna di destra (schede di analisi del rischio), è indicato il numero della scheda con la quale si è proceduto alla stima del valore della probabilità ed alla stima del valore dell’impatto, quindi all’analisi del rischio per singole attività riferibili a ciascun sotto-processo ritenuto potenzialmente esposto a fenomeni di corruzione. </w:t>
      </w: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
        <w:jc w:val="both"/>
        <w:rPr>
          <w:rFonts w:ascii="Times New Roman" w:hAnsi="Times New Roman"/>
          <w:b/>
          <w:sz w:val="24"/>
          <w:szCs w:val="24"/>
        </w:rPr>
      </w:pPr>
      <w:r w:rsidRPr="0029310E">
        <w:rPr>
          <w:rFonts w:ascii="Times New Roman" w:hAnsi="Times New Roman"/>
          <w:b/>
          <w:sz w:val="24"/>
          <w:szCs w:val="24"/>
        </w:rPr>
        <w:t>4.1. Indicazione delle attività nell'ambito delle quali è più elevato il rischio di corruzione, "aree di rischio"</w:t>
      </w: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
        <w:jc w:val="both"/>
        <w:rPr>
          <w:rFonts w:ascii="Times New Roman" w:hAnsi="Times New Roman"/>
        </w:rPr>
      </w:pPr>
      <w:r w:rsidRPr="0029310E">
        <w:rPr>
          <w:rFonts w:ascii="Times New Roman" w:hAnsi="Times New Roman"/>
        </w:rPr>
        <w:t>Per ogni ripartizione organizzativa dell’ente, sono ritenute “</w:t>
      </w:r>
      <w:r w:rsidRPr="0029310E">
        <w:rPr>
          <w:rFonts w:ascii="Times New Roman" w:hAnsi="Times New Roman"/>
          <w:i/>
        </w:rPr>
        <w:t>aree di rischio</w:t>
      </w:r>
      <w:r w:rsidRPr="0029310E">
        <w:rPr>
          <w:rFonts w:ascii="Times New Roman" w:hAnsi="Times New Roman"/>
        </w:rPr>
        <w:t xml:space="preserve">”, quali attività a più elevato rischio di corruzione, le singole attività, i processi ed i procedimenti riconducibili alle macro </w:t>
      </w:r>
      <w:r w:rsidRPr="0029310E">
        <w:rPr>
          <w:rFonts w:ascii="Times New Roman" w:hAnsi="Times New Roman"/>
          <w:b/>
          <w:u w:val="single"/>
        </w:rPr>
        <w:t>AREE</w:t>
      </w:r>
      <w:r w:rsidRPr="0029310E">
        <w:rPr>
          <w:rFonts w:ascii="Times New Roman" w:hAnsi="Times New Roman"/>
        </w:rPr>
        <w:t xml:space="preserve"> seguenti:</w:t>
      </w:r>
    </w:p>
    <w:p w:rsidR="00C064DD" w:rsidRPr="0029310E" w:rsidRDefault="00C064DD" w:rsidP="0037688C">
      <w:pPr>
        <w:pStyle w:val="Nessunaspaziatura"/>
        <w:jc w:val="both"/>
        <w:rPr>
          <w:rFonts w:ascii="Times New Roman" w:hAnsi="Times New Roman"/>
          <w:b/>
        </w:rPr>
      </w:pPr>
      <w:r w:rsidRPr="0029310E">
        <w:rPr>
          <w:rFonts w:ascii="Times New Roman" w:hAnsi="Times New Roman"/>
          <w:b/>
        </w:rPr>
        <w:t xml:space="preserve">AREA A: </w:t>
      </w:r>
    </w:p>
    <w:p w:rsidR="00C064DD" w:rsidRPr="0029310E" w:rsidRDefault="00C064DD" w:rsidP="0037688C">
      <w:pPr>
        <w:pStyle w:val="Nessunaspaziatura"/>
        <w:numPr>
          <w:ilvl w:val="0"/>
          <w:numId w:val="12"/>
        </w:numPr>
        <w:jc w:val="both"/>
        <w:rPr>
          <w:rFonts w:ascii="Times New Roman" w:hAnsi="Times New Roman"/>
        </w:rPr>
      </w:pPr>
      <w:r w:rsidRPr="0029310E">
        <w:rPr>
          <w:rFonts w:ascii="Times New Roman" w:hAnsi="Times New Roman"/>
        </w:rPr>
        <w:t xml:space="preserve">acquisizione e progressione del personale: </w:t>
      </w:r>
    </w:p>
    <w:p w:rsidR="00C064DD" w:rsidRPr="0029310E" w:rsidRDefault="00C064DD" w:rsidP="0037688C">
      <w:pPr>
        <w:pStyle w:val="Nessunaspaziatura"/>
        <w:numPr>
          <w:ilvl w:val="0"/>
          <w:numId w:val="12"/>
        </w:numPr>
        <w:jc w:val="both"/>
        <w:rPr>
          <w:rFonts w:ascii="Times New Roman" w:hAnsi="Times New Roman"/>
        </w:rPr>
      </w:pPr>
      <w:r w:rsidRPr="0029310E">
        <w:rPr>
          <w:rFonts w:ascii="Times New Roman" w:hAnsi="Times New Roman"/>
        </w:rPr>
        <w:t xml:space="preserve">concorsi e prove selettive per l’assunzione di personale e per la progressione in carriera. </w:t>
      </w:r>
    </w:p>
    <w:p w:rsidR="00C064DD" w:rsidRPr="0029310E" w:rsidRDefault="00C064DD" w:rsidP="0037688C">
      <w:pPr>
        <w:pStyle w:val="Nessunaspaziatura"/>
        <w:jc w:val="both"/>
        <w:rPr>
          <w:rFonts w:ascii="Times New Roman" w:hAnsi="Times New Roman"/>
          <w:b/>
        </w:rPr>
      </w:pPr>
      <w:r w:rsidRPr="0029310E">
        <w:rPr>
          <w:rFonts w:ascii="Times New Roman" w:hAnsi="Times New Roman"/>
          <w:b/>
        </w:rPr>
        <w:t xml:space="preserve">AREA B: </w:t>
      </w:r>
    </w:p>
    <w:p w:rsidR="00C064DD" w:rsidRPr="0029310E" w:rsidRDefault="00C064DD" w:rsidP="0037688C">
      <w:pPr>
        <w:pStyle w:val="Nessunaspaziatura"/>
        <w:numPr>
          <w:ilvl w:val="0"/>
          <w:numId w:val="11"/>
        </w:numPr>
        <w:jc w:val="both"/>
        <w:rPr>
          <w:rFonts w:ascii="Times New Roman" w:hAnsi="Times New Roman"/>
        </w:rPr>
      </w:pPr>
      <w:r w:rsidRPr="0029310E">
        <w:rPr>
          <w:rFonts w:ascii="Times New Roman" w:hAnsi="Times New Roman"/>
        </w:rPr>
        <w:t xml:space="preserve">affidamento di lavori servizi e forniture: </w:t>
      </w:r>
    </w:p>
    <w:p w:rsidR="00C064DD" w:rsidRPr="0029310E" w:rsidRDefault="00C064DD" w:rsidP="0037688C">
      <w:pPr>
        <w:pStyle w:val="Nessunaspaziatura"/>
        <w:numPr>
          <w:ilvl w:val="0"/>
          <w:numId w:val="11"/>
        </w:numPr>
        <w:jc w:val="both"/>
        <w:rPr>
          <w:rFonts w:ascii="Times New Roman" w:hAnsi="Times New Roman"/>
        </w:rPr>
      </w:pPr>
      <w:r w:rsidRPr="0029310E">
        <w:rPr>
          <w:rFonts w:ascii="Times New Roman" w:hAnsi="Times New Roman"/>
        </w:rPr>
        <w:t>procedimenti di scelta del contraente per l’affidamento di lavori, servizi, forniture.</w:t>
      </w:r>
    </w:p>
    <w:p w:rsidR="00C064DD" w:rsidRPr="0029310E" w:rsidRDefault="00C064DD" w:rsidP="0037688C">
      <w:pPr>
        <w:pStyle w:val="Nessunaspaziatura"/>
        <w:jc w:val="both"/>
        <w:rPr>
          <w:rFonts w:ascii="Times New Roman" w:hAnsi="Times New Roman"/>
          <w:b/>
        </w:rPr>
      </w:pPr>
      <w:r w:rsidRPr="0029310E">
        <w:rPr>
          <w:rFonts w:ascii="Times New Roman" w:hAnsi="Times New Roman"/>
          <w:b/>
          <w:shd w:val="clear" w:color="auto" w:fill="D9D9D9"/>
        </w:rPr>
        <w:t>AREA C</w:t>
      </w:r>
      <w:r w:rsidRPr="0029310E">
        <w:rPr>
          <w:rFonts w:ascii="Times New Roman" w:hAnsi="Times New Roman"/>
          <w:b/>
        </w:rPr>
        <w:t xml:space="preserve">: </w:t>
      </w:r>
    </w:p>
    <w:p w:rsidR="00C064DD" w:rsidRPr="0029310E" w:rsidRDefault="00C064DD" w:rsidP="0037688C">
      <w:pPr>
        <w:pStyle w:val="Nessunaspaziatura"/>
        <w:numPr>
          <w:ilvl w:val="0"/>
          <w:numId w:val="10"/>
        </w:numPr>
        <w:jc w:val="both"/>
        <w:rPr>
          <w:rFonts w:ascii="Times New Roman" w:hAnsi="Times New Roman"/>
        </w:rPr>
      </w:pPr>
      <w:r w:rsidRPr="0029310E">
        <w:rPr>
          <w:rFonts w:ascii="Times New Roman" w:hAnsi="Times New Roman"/>
        </w:rPr>
        <w:t xml:space="preserve">provvedimenti ampliativi della sfera giuridica dei destinatari privi di effetto economico diretto ed immediato per il destinatario: </w:t>
      </w:r>
    </w:p>
    <w:p w:rsidR="00C064DD" w:rsidRPr="0029310E" w:rsidRDefault="00C064DD" w:rsidP="0037688C">
      <w:pPr>
        <w:pStyle w:val="Nessunaspaziatura"/>
        <w:numPr>
          <w:ilvl w:val="0"/>
          <w:numId w:val="10"/>
        </w:numPr>
        <w:jc w:val="both"/>
        <w:rPr>
          <w:rFonts w:ascii="Times New Roman" w:hAnsi="Times New Roman"/>
        </w:rPr>
      </w:pPr>
      <w:r w:rsidRPr="0029310E">
        <w:rPr>
          <w:rFonts w:ascii="Times New Roman" w:hAnsi="Times New Roman"/>
        </w:rPr>
        <w:t>autorizzazioni e concessioni.</w:t>
      </w:r>
    </w:p>
    <w:p w:rsidR="00C064DD" w:rsidRPr="0029310E" w:rsidRDefault="00C064DD" w:rsidP="0037688C">
      <w:pPr>
        <w:pStyle w:val="Nessunaspaziatura"/>
        <w:jc w:val="both"/>
        <w:rPr>
          <w:rFonts w:ascii="Times New Roman" w:hAnsi="Times New Roman"/>
          <w:b/>
        </w:rPr>
      </w:pPr>
      <w:r w:rsidRPr="0029310E">
        <w:rPr>
          <w:rFonts w:ascii="Times New Roman" w:hAnsi="Times New Roman"/>
          <w:b/>
        </w:rPr>
        <w:t xml:space="preserve">AREA D: </w:t>
      </w:r>
    </w:p>
    <w:p w:rsidR="00C064DD" w:rsidRPr="0029310E" w:rsidRDefault="00C064DD" w:rsidP="0037688C">
      <w:pPr>
        <w:pStyle w:val="Nessunaspaziatura"/>
        <w:numPr>
          <w:ilvl w:val="0"/>
          <w:numId w:val="9"/>
        </w:numPr>
        <w:jc w:val="both"/>
        <w:rPr>
          <w:rFonts w:ascii="Times New Roman" w:hAnsi="Times New Roman"/>
        </w:rPr>
      </w:pPr>
      <w:r w:rsidRPr="0029310E">
        <w:rPr>
          <w:rFonts w:ascii="Times New Roman" w:hAnsi="Times New Roman"/>
        </w:rPr>
        <w:t xml:space="preserve">provvedimenti ampliativi della sfera giuridica dei destinatari con effetto economico diretto ed immediato per il destinatario: </w:t>
      </w:r>
    </w:p>
    <w:p w:rsidR="00C064DD" w:rsidRPr="0029310E" w:rsidRDefault="00C064DD" w:rsidP="0037688C">
      <w:pPr>
        <w:pStyle w:val="Nessunaspaziatura"/>
        <w:numPr>
          <w:ilvl w:val="0"/>
          <w:numId w:val="9"/>
        </w:numPr>
        <w:jc w:val="both"/>
        <w:rPr>
          <w:rFonts w:ascii="Times New Roman" w:hAnsi="Times New Roman"/>
        </w:rPr>
      </w:pPr>
      <w:r w:rsidRPr="0029310E">
        <w:rPr>
          <w:rFonts w:ascii="Times New Roman" w:hAnsi="Times New Roman"/>
        </w:rPr>
        <w:t xml:space="preserve">concessione ed erogazione di sovvenzioni, contributi, sussidi, ausili finanziari, nonché attribuzione di vantaggi economici di qualunque genere a persone ed enti pubblici e privati. </w:t>
      </w:r>
    </w:p>
    <w:p w:rsidR="00C064DD" w:rsidRPr="0029310E" w:rsidRDefault="00C064DD" w:rsidP="0037688C">
      <w:pPr>
        <w:pStyle w:val="Nessunaspaziatura"/>
        <w:jc w:val="both"/>
        <w:rPr>
          <w:rFonts w:ascii="Times New Roman" w:hAnsi="Times New Roman"/>
        </w:rPr>
      </w:pPr>
      <w:r w:rsidRPr="0029310E">
        <w:rPr>
          <w:rFonts w:ascii="Times New Roman" w:hAnsi="Times New Roman"/>
          <w:b/>
        </w:rPr>
        <w:t>AREA E</w:t>
      </w:r>
      <w:r w:rsidRPr="0029310E">
        <w:rPr>
          <w:rFonts w:ascii="Times New Roman" w:hAnsi="Times New Roman"/>
        </w:rPr>
        <w:t xml:space="preserve"> (</w:t>
      </w:r>
      <w:r w:rsidRPr="0029310E">
        <w:rPr>
          <w:rFonts w:ascii="Times New Roman" w:hAnsi="Times New Roman"/>
          <w:b/>
          <w:i/>
        </w:rPr>
        <w:t>Specifica per i comuni</w:t>
      </w:r>
      <w:r w:rsidRPr="0029310E">
        <w:rPr>
          <w:rFonts w:ascii="Times New Roman" w:hAnsi="Times New Roman"/>
        </w:rPr>
        <w:t xml:space="preserve">):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provvedimenti di pianificazione urbanistica generale ed attuativa;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permessi di costruire ordinari, in deroga e convenzionati;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accertamento e controlli sugli abusi edilizi;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gestione dell’attività di levata dei protesti cambiari;</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gestione del processo di irrogazione delle sanzioni per violazione del CDS;</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gestione ordinaria delle entrate e delle spese di bilancio;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accertamenti e verifiche dei tributi locali, accertamenti con adesione dei tributi locali;</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incentivi economici al personale (</w:t>
      </w:r>
      <w:r w:rsidRPr="0029310E">
        <w:rPr>
          <w:rFonts w:ascii="Times New Roman" w:hAnsi="Times New Roman"/>
          <w:i/>
        </w:rPr>
        <w:t>produttività individuale e retribuzioni di risultato</w:t>
      </w:r>
      <w:r w:rsidRPr="0029310E">
        <w:rPr>
          <w:rFonts w:ascii="Times New Roman" w:hAnsi="Times New Roman"/>
        </w:rPr>
        <w:t xml:space="preserve">);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gestione giuridica del personale;</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gestione della raccolta, dello smaltimento e del riciclo dei rifiuti</w:t>
      </w:r>
      <w:r w:rsidRPr="0029310E">
        <w:rPr>
          <w:rFonts w:ascii="Times New Roman" w:hAnsi="Times New Roman"/>
        </w:rPr>
        <w:footnoteReference w:id="1"/>
      </w:r>
      <w:r w:rsidRPr="0029310E">
        <w:rPr>
          <w:rFonts w:ascii="Times New Roman" w:hAnsi="Times New Roman"/>
        </w:rPr>
        <w:t xml:space="preserve">;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lastRenderedPageBreak/>
        <w:t xml:space="preserve">protocollo e archivio, pratiche anagrafiche, sepolture e tombe d famiglia, gestione della leva, gestione dell’elettorato;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patrocini ed  eventi;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diritto allo studio; </w:t>
      </w:r>
    </w:p>
    <w:p w:rsidR="00C064DD" w:rsidRPr="0029310E" w:rsidRDefault="00C064DD" w:rsidP="0037688C">
      <w:pPr>
        <w:pStyle w:val="Nessunaspaziatura"/>
        <w:numPr>
          <w:ilvl w:val="0"/>
          <w:numId w:val="8"/>
        </w:numPr>
        <w:jc w:val="both"/>
        <w:rPr>
          <w:rFonts w:ascii="Times New Roman" w:hAnsi="Times New Roman"/>
        </w:rPr>
      </w:pPr>
      <w:r w:rsidRPr="0029310E">
        <w:rPr>
          <w:rFonts w:ascii="Times New Roman" w:hAnsi="Times New Roman"/>
        </w:rPr>
        <w:t xml:space="preserve">organi, rappresentanti e atti amministrativi; </w:t>
      </w: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
        <w:jc w:val="both"/>
        <w:rPr>
          <w:rFonts w:ascii="Times New Roman" w:hAnsi="Times New Roman"/>
          <w:b/>
          <w:sz w:val="24"/>
          <w:szCs w:val="24"/>
        </w:rPr>
      </w:pPr>
      <w:r w:rsidRPr="0029310E">
        <w:rPr>
          <w:rFonts w:ascii="Times New Roman" w:hAnsi="Times New Roman"/>
          <w:b/>
          <w:sz w:val="24"/>
          <w:szCs w:val="24"/>
        </w:rPr>
        <w:t xml:space="preserve">4.2 Procedimenti Analizzati  e Trattamento del Rischio </w:t>
      </w:r>
    </w:p>
    <w:p w:rsidR="00C064DD" w:rsidRPr="0029310E" w:rsidRDefault="00C064DD" w:rsidP="0037688C">
      <w:pPr>
        <w:pStyle w:val="Nessunaspaziatura1"/>
        <w:jc w:val="both"/>
        <w:rPr>
          <w:rFonts w:ascii="Times New Roman" w:hAnsi="Times New Roman"/>
        </w:rPr>
      </w:pPr>
    </w:p>
    <w:p w:rsidR="00C064DD" w:rsidRPr="0029310E" w:rsidRDefault="00C064DD" w:rsidP="0037688C">
      <w:pPr>
        <w:pStyle w:val="Nessunaspaziatura1"/>
        <w:jc w:val="both"/>
        <w:rPr>
          <w:rFonts w:ascii="Times New Roman" w:hAnsi="Times New Roman"/>
        </w:rPr>
      </w:pPr>
      <w:r w:rsidRPr="0029310E">
        <w:rPr>
          <w:rFonts w:ascii="Times New Roman" w:hAnsi="Times New Roman"/>
        </w:rPr>
        <w:t>Nell’anno 2014 questa attività è stata effettuata sperimentalmente su alcuni procedimenti dell’area  acquisizione e progressione del personale mentre nel PTPC 2015 è stata estesa  nell’ambito di ciascuna struttura facente parte dell’assetto organizzativo del Comune e nel PTCP 2016 l’analisi si è concentrata in particolare sull’area E specifica dei Comuni.</w:t>
      </w:r>
    </w:p>
    <w:p w:rsidR="00C064DD" w:rsidRPr="0029310E" w:rsidRDefault="00C064DD" w:rsidP="0037688C">
      <w:pPr>
        <w:pStyle w:val="Nessunaspaziatura"/>
        <w:jc w:val="both"/>
        <w:rPr>
          <w:rFonts w:ascii="Times New Roman" w:hAnsi="Times New Roman"/>
        </w:rPr>
      </w:pPr>
      <w:r w:rsidRPr="0029310E">
        <w:rPr>
          <w:rFonts w:ascii="Times New Roman" w:hAnsi="Times New Roman"/>
          <w:bCs/>
          <w:iCs/>
        </w:rPr>
        <w:t>Con il presente PTCP si completa la stesura della mappatura di tutti i principali processi dell’ente.</w:t>
      </w:r>
      <w:r w:rsidRPr="0029310E">
        <w:rPr>
          <w:rFonts w:ascii="Times New Roman" w:hAnsi="Times New Roman"/>
        </w:rPr>
        <w:t xml:space="preserve"> La valutazione del rischio è svolta per ciascuna attività, processo o fase di processo mappati. La valutazione prevede l’identificazione, l'analisi e la ponderazione del rischio.</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Il piano è stato elaborato seguendo un metodo di analisi e rilevazione del rischio collegato a ciascun tipo di procedimento analizzato. Alla identificazione e valutazione del rischio segue l’indicazione delle misure di prevenzione che consistono in norme, procedure, azioni di carattere generale o specifiche, idonee a prevenire fatti corruttivi.</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Il piano si configura come strumento dinamico, da adeguare, integrare e monitorare con continuità, in quanto deve rappresentare una mappatura tendenzialmente completa del rischio.</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Nello specifico, i procedimenti con l’indicazione degli specifici fattori di rischio sono stati rilevati utilizzando un’analisi metodologica con l’applicazione dei parametri di valutazione contenuti nella normativa in materia.</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 xml:space="preserve">In esito alla fase di mappatura è stato possibile stilare un elenco dei processi potenzialmente a rischio attuati dall’Ente. Applicando la suddetta metodologia sono state esaminate ulteriori n°10 attività riferibili alle macro aree C – E per un totale di n° 38 procedimenti analizzati. </w:t>
      </w:r>
    </w:p>
    <w:p w:rsidR="00C064DD" w:rsidRPr="0029310E" w:rsidRDefault="00C064DD" w:rsidP="0037688C">
      <w:pPr>
        <w:pStyle w:val="Nessunaspaziatura1"/>
        <w:jc w:val="both"/>
        <w:rPr>
          <w:rFonts w:ascii="Times New Roman" w:hAnsi="Times New Roman"/>
        </w:rPr>
      </w:pPr>
    </w:p>
    <w:p w:rsidR="00C064DD" w:rsidRPr="0029310E" w:rsidRDefault="00C064DD" w:rsidP="0037688C">
      <w:pPr>
        <w:pStyle w:val="Nessunaspaziatura1"/>
        <w:jc w:val="both"/>
        <w:rPr>
          <w:rFonts w:ascii="Times New Roman" w:hAnsi="Times New Roman"/>
        </w:rPr>
      </w:pPr>
      <w:r w:rsidRPr="0029310E">
        <w:rPr>
          <w:rFonts w:ascii="Times New Roman" w:hAnsi="Times New Roman"/>
          <w:b/>
          <w:u w:val="single"/>
        </w:rPr>
        <w:t>Nelle schede allegate</w:t>
      </w:r>
      <w:r w:rsidRPr="0029310E">
        <w:rPr>
          <w:rFonts w:ascii="Times New Roman" w:hAnsi="Times New Roman"/>
        </w:rPr>
        <w:t xml:space="preserve"> sono riportati i valori attribuiti a ciascun criterio per :</w:t>
      </w:r>
    </w:p>
    <w:p w:rsidR="00C064DD" w:rsidRPr="0029310E" w:rsidRDefault="00C064DD" w:rsidP="0037688C">
      <w:pPr>
        <w:pStyle w:val="Nessunaspaziatura1"/>
        <w:numPr>
          <w:ilvl w:val="0"/>
          <w:numId w:val="6"/>
        </w:numPr>
        <w:jc w:val="both"/>
        <w:rPr>
          <w:rFonts w:ascii="Times New Roman" w:hAnsi="Times New Roman"/>
        </w:rPr>
      </w:pPr>
      <w:r w:rsidRPr="0029310E">
        <w:rPr>
          <w:rFonts w:ascii="Times New Roman" w:hAnsi="Times New Roman"/>
        </w:rPr>
        <w:t xml:space="preserve">la valutazione della probabilità; </w:t>
      </w:r>
    </w:p>
    <w:p w:rsidR="00C064DD" w:rsidRPr="0029310E" w:rsidRDefault="00C064DD" w:rsidP="0037688C">
      <w:pPr>
        <w:pStyle w:val="Nessunaspaziatura1"/>
        <w:numPr>
          <w:ilvl w:val="0"/>
          <w:numId w:val="6"/>
        </w:numPr>
        <w:jc w:val="both"/>
        <w:rPr>
          <w:rFonts w:ascii="Times New Roman" w:hAnsi="Times New Roman"/>
        </w:rPr>
      </w:pPr>
      <w:r w:rsidRPr="0029310E">
        <w:rPr>
          <w:rFonts w:ascii="Times New Roman" w:hAnsi="Times New Roman"/>
        </w:rPr>
        <w:t xml:space="preserve">la valutazione dell’impatto. </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La moltiplicazione dei due valori determina la “</w:t>
      </w:r>
      <w:r w:rsidRPr="0029310E">
        <w:rPr>
          <w:rFonts w:ascii="Times New Roman" w:hAnsi="Times New Roman"/>
          <w:i/>
        </w:rPr>
        <w:t>valutazione del rischio</w:t>
      </w:r>
      <w:r w:rsidRPr="0029310E">
        <w:rPr>
          <w:rFonts w:ascii="Times New Roman" w:hAnsi="Times New Roman"/>
        </w:rPr>
        <w:t xml:space="preserve">” connesso all’attività. </w:t>
      </w:r>
    </w:p>
    <w:p w:rsidR="00C064DD" w:rsidRPr="0029310E" w:rsidRDefault="00C064DD" w:rsidP="0037688C">
      <w:pPr>
        <w:pStyle w:val="Nessunaspaziatura1"/>
        <w:jc w:val="both"/>
        <w:rPr>
          <w:rFonts w:ascii="Times New Roman" w:hAnsi="Times New Roman"/>
          <w:lang w:bidi="he-IL"/>
        </w:rPr>
      </w:pPr>
      <w:r w:rsidRPr="0029310E">
        <w:rPr>
          <w:rFonts w:ascii="Times New Roman" w:hAnsi="Times New Roman"/>
        </w:rPr>
        <w:t xml:space="preserve">Nella tabella che segue si procede alla </w:t>
      </w:r>
      <w:r w:rsidRPr="0029310E">
        <w:rPr>
          <w:rFonts w:ascii="Times New Roman" w:hAnsi="Times New Roman"/>
          <w:b/>
        </w:rPr>
        <w:t>ponderazione del rischio</w:t>
      </w:r>
      <w:r w:rsidRPr="0029310E">
        <w:rPr>
          <w:rFonts w:ascii="Times New Roman" w:hAnsi="Times New Roman"/>
        </w:rPr>
        <w:t xml:space="preserve"> classificando le attività in ordine decrescente rispetto ai valori di “</w:t>
      </w:r>
      <w:r w:rsidRPr="0029310E">
        <w:rPr>
          <w:rFonts w:ascii="Times New Roman" w:hAnsi="Times New Roman"/>
          <w:i/>
        </w:rPr>
        <w:t>rischio</w:t>
      </w:r>
      <w:r w:rsidRPr="0029310E">
        <w:rPr>
          <w:rFonts w:ascii="Times New Roman" w:hAnsi="Times New Roman"/>
        </w:rPr>
        <w:t>” stimati.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0"/>
        <w:gridCol w:w="4200"/>
        <w:gridCol w:w="1300"/>
        <w:gridCol w:w="980"/>
        <w:gridCol w:w="2060"/>
      </w:tblGrid>
      <w:tr w:rsidR="00C064DD" w:rsidRPr="0029310E" w:rsidTr="0037688C">
        <w:trPr>
          <w:trHeight w:val="630"/>
        </w:trPr>
        <w:tc>
          <w:tcPr>
            <w:tcW w:w="9300" w:type="dxa"/>
            <w:gridSpan w:val="5"/>
            <w:vAlign w:val="center"/>
          </w:tcPr>
          <w:p w:rsidR="00C064DD" w:rsidRPr="0029310E" w:rsidRDefault="00C064DD" w:rsidP="0037688C">
            <w:pPr>
              <w:pStyle w:val="Nessunaspaziatura1"/>
              <w:jc w:val="center"/>
              <w:rPr>
                <w:rFonts w:ascii="Times New Roman" w:hAnsi="Times New Roman"/>
                <w:b/>
                <w:sz w:val="20"/>
                <w:szCs w:val="20"/>
                <w:lang w:bidi="he-IL"/>
              </w:rPr>
            </w:pPr>
            <w:r w:rsidRPr="0029310E">
              <w:rPr>
                <w:rFonts w:ascii="Times New Roman" w:hAnsi="Times New Roman"/>
                <w:b/>
                <w:sz w:val="20"/>
                <w:szCs w:val="20"/>
                <w:lang w:bidi="he-IL"/>
              </w:rPr>
              <w:t>TABELLA SINTESI VALUTAZIONE PONDERAZIONE DEL  RISCHIO</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b/>
                <w:bCs/>
                <w:sz w:val="20"/>
                <w:szCs w:val="20"/>
                <w:lang w:bidi="he-IL"/>
              </w:rPr>
            </w:pPr>
            <w:r w:rsidRPr="0029310E">
              <w:rPr>
                <w:rFonts w:ascii="Times New Roman" w:hAnsi="Times New Roman"/>
                <w:b/>
                <w:bCs/>
                <w:sz w:val="20"/>
                <w:szCs w:val="20"/>
                <w:lang w:bidi="he-IL"/>
              </w:rPr>
              <w:t xml:space="preserve">Area </w:t>
            </w:r>
          </w:p>
        </w:tc>
        <w:tc>
          <w:tcPr>
            <w:tcW w:w="4200" w:type="dxa"/>
          </w:tcPr>
          <w:p w:rsidR="00C064DD" w:rsidRPr="0029310E" w:rsidRDefault="00C064DD" w:rsidP="0037688C">
            <w:pPr>
              <w:pStyle w:val="Nessunaspaziatura1"/>
              <w:jc w:val="both"/>
              <w:rPr>
                <w:rFonts w:ascii="Times New Roman" w:hAnsi="Times New Roman"/>
                <w:b/>
                <w:bCs/>
                <w:sz w:val="20"/>
                <w:szCs w:val="20"/>
                <w:lang w:bidi="he-IL"/>
              </w:rPr>
            </w:pPr>
            <w:r w:rsidRPr="0029310E">
              <w:rPr>
                <w:rFonts w:ascii="Times New Roman" w:hAnsi="Times New Roman"/>
                <w:b/>
                <w:bCs/>
                <w:sz w:val="20"/>
                <w:szCs w:val="20"/>
                <w:lang w:bidi="he-IL"/>
              </w:rPr>
              <w:t xml:space="preserve">Attività o processo </w:t>
            </w:r>
          </w:p>
        </w:tc>
        <w:tc>
          <w:tcPr>
            <w:tcW w:w="1300" w:type="dxa"/>
          </w:tcPr>
          <w:p w:rsidR="00C064DD" w:rsidRPr="0029310E" w:rsidRDefault="00C064DD" w:rsidP="0037688C">
            <w:pPr>
              <w:pStyle w:val="Nessunaspaziatura1"/>
              <w:jc w:val="both"/>
              <w:rPr>
                <w:rFonts w:ascii="Times New Roman" w:hAnsi="Times New Roman"/>
                <w:b/>
                <w:bCs/>
                <w:sz w:val="20"/>
                <w:szCs w:val="20"/>
                <w:lang w:bidi="he-IL"/>
              </w:rPr>
            </w:pPr>
            <w:r w:rsidRPr="0029310E">
              <w:rPr>
                <w:rFonts w:ascii="Times New Roman" w:hAnsi="Times New Roman"/>
                <w:b/>
                <w:bCs/>
                <w:sz w:val="20"/>
                <w:szCs w:val="20"/>
                <w:lang w:bidi="he-IL"/>
              </w:rPr>
              <w:t xml:space="preserve">Probabilità </w:t>
            </w:r>
          </w:p>
        </w:tc>
        <w:tc>
          <w:tcPr>
            <w:tcW w:w="980" w:type="dxa"/>
          </w:tcPr>
          <w:p w:rsidR="00C064DD" w:rsidRPr="0029310E" w:rsidRDefault="00C064DD" w:rsidP="0037688C">
            <w:pPr>
              <w:pStyle w:val="Nessunaspaziatura1"/>
              <w:jc w:val="both"/>
              <w:rPr>
                <w:rFonts w:ascii="Times New Roman" w:hAnsi="Times New Roman"/>
                <w:b/>
                <w:bCs/>
                <w:sz w:val="20"/>
                <w:szCs w:val="20"/>
                <w:lang w:bidi="he-IL"/>
              </w:rPr>
            </w:pPr>
            <w:r w:rsidRPr="0029310E">
              <w:rPr>
                <w:rFonts w:ascii="Times New Roman" w:hAnsi="Times New Roman"/>
                <w:b/>
                <w:bCs/>
                <w:sz w:val="20"/>
                <w:szCs w:val="20"/>
                <w:lang w:bidi="he-IL"/>
              </w:rPr>
              <w:t xml:space="preserve">Impatto </w:t>
            </w:r>
          </w:p>
        </w:tc>
        <w:tc>
          <w:tcPr>
            <w:tcW w:w="2060" w:type="dxa"/>
          </w:tcPr>
          <w:p w:rsidR="00C064DD" w:rsidRPr="0029310E" w:rsidRDefault="00C064DD" w:rsidP="0037688C">
            <w:pPr>
              <w:pStyle w:val="Nessunaspaziatura1"/>
              <w:jc w:val="both"/>
              <w:rPr>
                <w:rFonts w:ascii="Times New Roman" w:hAnsi="Times New Roman"/>
                <w:b/>
                <w:bCs/>
                <w:sz w:val="20"/>
                <w:szCs w:val="20"/>
                <w:lang w:bidi="he-IL"/>
              </w:rPr>
            </w:pPr>
            <w:r w:rsidRPr="0029310E">
              <w:rPr>
                <w:rFonts w:ascii="Times New Roman" w:hAnsi="Times New Roman"/>
                <w:b/>
                <w:bCs/>
                <w:sz w:val="20"/>
                <w:szCs w:val="20"/>
                <w:lang w:bidi="he-IL"/>
              </w:rPr>
              <w:t xml:space="preserve"> Rischio   </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Provvedimenti di pianificazione urbanistica generale</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4,33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9,74</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B</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Affidamento mediante procedura aperta (o ristretta) di lavori, servizi, forniture</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3,5</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9,62</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A </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Selezione per l'affidamento di un incarico professionale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4,17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9,38</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E </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Provvedimenti di pianificazione urbanistica attuativa</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4,17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9,38</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Controlli DIA, SCIA, Attività di edilizia libera , certificati destinazione urbanistica</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3,5</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8,75</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Accesso ai servizi sociali</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3,5</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8,75</w:t>
            </w:r>
          </w:p>
        </w:tc>
      </w:tr>
      <w:tr w:rsidR="00C064DD" w:rsidRPr="0029310E" w:rsidTr="0037688C">
        <w:trPr>
          <w:trHeight w:val="311"/>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B</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Affidamento diretto di lavori, servizi o forniture</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8,61</w:t>
            </w:r>
          </w:p>
        </w:tc>
      </w:tr>
      <w:tr w:rsidR="00C064DD" w:rsidRPr="0029310E" w:rsidTr="0037688C">
        <w:trPr>
          <w:trHeight w:val="698"/>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lastRenderedPageBreak/>
              <w:t>B</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Utilizzo rimedi risoluzione controversie alternativi a quelli giurisdizionali durante la fase di esecuzione del contratto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8,25</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Commercio in sede fissa e ambulante</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7,78</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noWrap/>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Organizzazione eventi   </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3,83</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7,66</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A </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Concorso per l'assunzione di personale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2,67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7,34</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A </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Reclutamento personale - Mobilità esterna ai sensi dell'art. 30 D.Lgs 165/2001</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2,67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7,34</w:t>
            </w:r>
          </w:p>
        </w:tc>
      </w:tr>
      <w:tr w:rsidR="00C064DD" w:rsidRPr="0029310E" w:rsidTr="0037688C">
        <w:trPr>
          <w:trHeight w:val="123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D</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Concessione ed erogazione di sovvenzioni, contributi, sussidi, ausili finanziari, nonché attribuzione di vantaggi economici a persone, ed enti pubblici e privati, al di fuori dell’ambito di solidarietà sociale</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7,07</w:t>
            </w:r>
          </w:p>
        </w:tc>
      </w:tr>
      <w:tr w:rsidR="00C064DD" w:rsidRPr="0029310E" w:rsidTr="0037688C">
        <w:trPr>
          <w:trHeight w:val="996"/>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D</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Concessione ed erogazione di sovvenzioni, contributi, sussidi, ausili finanziari, nonché attribuzione di vantaggi economici nell’ambito della solidarietà sociale</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RILEVANTE 7,07</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Permesso di costruire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2,67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6,67</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Riscossione coattiva tributi ed entrate patrimoniali</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3,33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6,66</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Gestione ordinaria delle spese di bilancio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3,33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6,66</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Designazione dei rappresentati dell'ente presso enti, società, fondazioni </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6</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E </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Raccolta e smaltimento rifiuti</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5,74</w:t>
            </w:r>
          </w:p>
        </w:tc>
      </w:tr>
      <w:tr w:rsidR="00C064DD" w:rsidRPr="0029310E" w:rsidTr="0037688C">
        <w:trPr>
          <w:trHeight w:val="1500"/>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Concessione posizione giuridiche anagrafiche (rilascio carte d'identità, immigrazioni, emigrazioni, cambi di indirizzo, aggregazione/scissione nuclei familiari, cittadini comunitari, stranieri, concessione cittadinanza italiana)</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5,62</w:t>
            </w:r>
          </w:p>
        </w:tc>
      </w:tr>
      <w:tr w:rsidR="00C064DD" w:rsidRPr="0029310E" w:rsidTr="0037688C">
        <w:trPr>
          <w:trHeight w:val="288"/>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Gestione delle sanzioni per violazione CdS</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5,62</w:t>
            </w:r>
          </w:p>
        </w:tc>
      </w:tr>
      <w:tr w:rsidR="00C064DD" w:rsidRPr="0029310E" w:rsidTr="0037688C">
        <w:trPr>
          <w:trHeight w:val="26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Accertamenti e controlli degli abusi edilizi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MEDIO      5,25</w:t>
            </w:r>
          </w:p>
        </w:tc>
      </w:tr>
      <w:tr w:rsidR="00C064DD" w:rsidRPr="0029310E" w:rsidTr="0037688C">
        <w:trPr>
          <w:trHeight w:val="34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Accertamenti con adesione dei tributi locali</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4,78</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Gestione del diritto allo studio  </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2,67</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4,67</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A </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Concorso per la progressione in carriera del personale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4,5</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Rilascio di patrocini  </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2,83</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4,245</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Accertamenti e verifiche dei tributi locali</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3,33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4,16</w:t>
            </w:r>
          </w:p>
        </w:tc>
      </w:tr>
      <w:tr w:rsidR="00C064DD" w:rsidRPr="0029310E" w:rsidTr="0037688C">
        <w:trPr>
          <w:trHeight w:val="476"/>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Incentivi economici al personale (produttività e retribuzioni di risultato)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4,11</w:t>
            </w:r>
          </w:p>
        </w:tc>
      </w:tr>
      <w:tr w:rsidR="00C064DD" w:rsidRPr="0029310E" w:rsidTr="0037688C">
        <w:trPr>
          <w:trHeight w:val="585"/>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Rilascio autorizzazioni x concessione aspettative, congedi, permessi, autorizzazione straordinari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4,11</w:t>
            </w:r>
          </w:p>
        </w:tc>
      </w:tr>
      <w:tr w:rsidR="00C064DD" w:rsidRPr="0029310E" w:rsidTr="0037688C">
        <w:trPr>
          <w:trHeight w:val="25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Gestione ordinaria delle entrate di bilancio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2,33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4,07</w:t>
            </w:r>
          </w:p>
        </w:tc>
      </w:tr>
      <w:tr w:rsidR="00C064DD" w:rsidRPr="0029310E" w:rsidTr="0037688C">
        <w:trPr>
          <w:trHeight w:val="31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noWrap/>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Gestione delle tombe di famiglia</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2,67</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BASSO       4,05</w:t>
            </w:r>
          </w:p>
        </w:tc>
      </w:tr>
      <w:tr w:rsidR="00C064DD" w:rsidRPr="0029310E" w:rsidTr="0037688C">
        <w:trPr>
          <w:trHeight w:val="552"/>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Formazione di determinazioni, ordinanze, decreti ed altri atti amministrativi</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1,5</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3,75</w:t>
            </w:r>
          </w:p>
        </w:tc>
      </w:tr>
      <w:tr w:rsidR="00C064DD" w:rsidRPr="0029310E" w:rsidTr="0037688C">
        <w:trPr>
          <w:trHeight w:val="993"/>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Autorizzazioni ex artt. 68 e 69 del TULPS (spettacoli anche viaggianti, pubblici intrattenimenti, feste da ballo, esposizioni, corse. Con oltre 200 partecipanti)</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2,83</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3,53</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lastRenderedPageBreak/>
              <w:t>E</w:t>
            </w:r>
          </w:p>
        </w:tc>
        <w:tc>
          <w:tcPr>
            <w:tcW w:w="4200" w:type="dxa"/>
            <w:noWrap/>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Levata dei protesti cambiari </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3,5</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noWrap/>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 xml:space="preserve">Gestione delle sepolture e dei loculi  </w:t>
            </w:r>
          </w:p>
        </w:tc>
        <w:tc>
          <w:tcPr>
            <w:tcW w:w="130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2,33</w:t>
            </w:r>
          </w:p>
        </w:tc>
        <w:tc>
          <w:tcPr>
            <w:tcW w:w="980" w:type="dxa"/>
            <w:noWrap/>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1,25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2,91</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C</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Autorizzazione all'occupazione del suolo pubblico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2,17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2,17</w:t>
            </w:r>
          </w:p>
        </w:tc>
      </w:tr>
      <w:tr w:rsidR="00C064DD" w:rsidRPr="0029310E" w:rsidTr="0037688C">
        <w:trPr>
          <w:trHeight w:val="624"/>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Gestione dell'archivio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1,17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0,75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0,88</w:t>
            </w:r>
          </w:p>
        </w:tc>
      </w:tr>
      <w:tr w:rsidR="00C064DD" w:rsidRPr="0029310E" w:rsidTr="0037688C">
        <w:trPr>
          <w:trHeight w:val="417"/>
        </w:trPr>
        <w:tc>
          <w:tcPr>
            <w:tcW w:w="76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E</w:t>
            </w:r>
          </w:p>
        </w:tc>
        <w:tc>
          <w:tcPr>
            <w:tcW w:w="4200" w:type="dxa"/>
          </w:tcPr>
          <w:p w:rsidR="00C064DD" w:rsidRPr="0029310E" w:rsidRDefault="00C064DD" w:rsidP="0037688C">
            <w:pPr>
              <w:pStyle w:val="Nessunaspaziatura1"/>
              <w:jc w:val="both"/>
              <w:rPr>
                <w:rFonts w:ascii="Times New Roman" w:hAnsi="Times New Roman"/>
                <w:sz w:val="20"/>
                <w:szCs w:val="20"/>
                <w:lang w:bidi="he-IL"/>
              </w:rPr>
            </w:pPr>
            <w:r w:rsidRPr="0029310E">
              <w:rPr>
                <w:rFonts w:ascii="Times New Roman" w:hAnsi="Times New Roman"/>
                <w:sz w:val="20"/>
                <w:szCs w:val="20"/>
                <w:lang w:bidi="he-IL"/>
              </w:rPr>
              <w:t>Gestione del protocollo</w:t>
            </w:r>
          </w:p>
        </w:tc>
        <w:tc>
          <w:tcPr>
            <w:tcW w:w="130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1,17</w:t>
            </w:r>
          </w:p>
        </w:tc>
        <w:tc>
          <w:tcPr>
            <w:tcW w:w="98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0,75</w:t>
            </w:r>
          </w:p>
        </w:tc>
        <w:tc>
          <w:tcPr>
            <w:tcW w:w="2060" w:type="dxa"/>
          </w:tcPr>
          <w:p w:rsidR="00C064DD" w:rsidRPr="0029310E" w:rsidRDefault="00C064DD" w:rsidP="0037688C">
            <w:pPr>
              <w:pStyle w:val="Nessunaspaziatura1"/>
              <w:jc w:val="center"/>
              <w:rPr>
                <w:rFonts w:ascii="Times New Roman" w:hAnsi="Times New Roman"/>
                <w:sz w:val="20"/>
                <w:szCs w:val="20"/>
                <w:lang w:bidi="he-IL"/>
              </w:rPr>
            </w:pPr>
            <w:r w:rsidRPr="0029310E">
              <w:rPr>
                <w:rFonts w:ascii="Times New Roman" w:hAnsi="Times New Roman"/>
                <w:sz w:val="20"/>
                <w:szCs w:val="20"/>
                <w:lang w:bidi="he-IL"/>
              </w:rPr>
              <w:t>TRASCURABILE 0,88</w:t>
            </w:r>
          </w:p>
        </w:tc>
      </w:tr>
    </w:tbl>
    <w:p w:rsidR="00C064DD" w:rsidRPr="0029310E" w:rsidRDefault="00C064DD" w:rsidP="0037688C">
      <w:pPr>
        <w:pStyle w:val="Nessunaspaziatura1"/>
        <w:jc w:val="both"/>
        <w:rPr>
          <w:rFonts w:ascii="Times New Roman" w:hAnsi="Times New Roman"/>
          <w:lang w:bidi="he-IL"/>
        </w:rPr>
      </w:pPr>
    </w:p>
    <w:p w:rsidR="00C064DD" w:rsidRPr="0029310E" w:rsidRDefault="00C064DD" w:rsidP="0037688C">
      <w:pPr>
        <w:pStyle w:val="Nessunaspaziatura1"/>
        <w:jc w:val="both"/>
        <w:rPr>
          <w:rFonts w:ascii="Times New Roman" w:hAnsi="Times New Roman"/>
          <w:lang w:bidi="he-IL"/>
        </w:rPr>
      </w:pPr>
      <w:r w:rsidRPr="0029310E">
        <w:rPr>
          <w:rFonts w:ascii="Times New Roman" w:hAnsi="Times New Roman"/>
          <w:lang w:bidi="he-IL"/>
        </w:rPr>
        <w:t>La valutazione del rischio è stata svolta per ciascuna attività, processo mappati.</w:t>
      </w:r>
    </w:p>
    <w:p w:rsidR="00C064DD" w:rsidRPr="0029310E" w:rsidRDefault="00C064DD" w:rsidP="0037688C">
      <w:pPr>
        <w:pStyle w:val="Nessunaspaziatura1"/>
        <w:rPr>
          <w:rFonts w:ascii="Times New Roman" w:hAnsi="Times New Roman"/>
          <w:lang w:bidi="he-IL"/>
        </w:rPr>
      </w:pPr>
      <w:r w:rsidRPr="0029310E">
        <w:rPr>
          <w:rFonts w:ascii="Times New Roman" w:hAnsi="Times New Roman"/>
          <w:lang w:bidi="he-IL"/>
        </w:rPr>
        <w:t>La valutazione prevede l’identificazione, l'analisi e la ponderazione del rischio.</w:t>
      </w:r>
    </w:p>
    <w:p w:rsidR="00C064DD" w:rsidRPr="0029310E" w:rsidRDefault="00C064DD" w:rsidP="0037688C">
      <w:pPr>
        <w:pStyle w:val="Nessunaspaziatura"/>
        <w:rPr>
          <w:rFonts w:ascii="Times New Roman" w:hAnsi="Times New Roman"/>
          <w:b/>
          <w:sz w:val="24"/>
          <w:szCs w:val="24"/>
        </w:rPr>
      </w:pPr>
    </w:p>
    <w:p w:rsidR="00C064DD" w:rsidRPr="0029310E" w:rsidRDefault="00C064DD" w:rsidP="0037688C">
      <w:pPr>
        <w:pStyle w:val="Nessunaspaziatura"/>
        <w:rPr>
          <w:rFonts w:ascii="Times New Roman" w:hAnsi="Times New Roman"/>
          <w:b/>
          <w:sz w:val="24"/>
          <w:szCs w:val="24"/>
        </w:rPr>
      </w:pPr>
      <w:r w:rsidRPr="0029310E">
        <w:rPr>
          <w:rFonts w:ascii="Times New Roman" w:hAnsi="Times New Roman"/>
          <w:b/>
          <w:sz w:val="24"/>
          <w:szCs w:val="24"/>
        </w:rPr>
        <w:t xml:space="preserve">4.3 Schede Processi Mappati. </w:t>
      </w:r>
    </w:p>
    <w:p w:rsidR="00C064DD" w:rsidRPr="0029310E" w:rsidRDefault="00C064DD" w:rsidP="0037688C">
      <w:pPr>
        <w:pStyle w:val="Nessunaspaziatura1"/>
        <w:jc w:val="both"/>
        <w:rPr>
          <w:rFonts w:ascii="Times New Roman" w:hAnsi="Times New Roman"/>
        </w:rPr>
      </w:pPr>
    </w:p>
    <w:p w:rsidR="00C064DD" w:rsidRPr="0029310E" w:rsidRDefault="00C064DD" w:rsidP="0037688C">
      <w:pPr>
        <w:pStyle w:val="Nessunaspaziatura1"/>
        <w:jc w:val="both"/>
        <w:rPr>
          <w:rFonts w:ascii="Times New Roman" w:hAnsi="Times New Roman"/>
        </w:rPr>
      </w:pPr>
      <w:r w:rsidRPr="0029310E">
        <w:rPr>
          <w:rFonts w:ascii="Times New Roman" w:hAnsi="Times New Roman"/>
        </w:rPr>
        <w:t xml:space="preserve">Si riportano, in allegato al presente P.T.P.C., le schede contenenti l’analisi del rischio con le misure di prevenzione attivate o da attivare delle macro AREA elaborate dal Segretario in collaborazione con il NdV. </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 xml:space="preserve">La gestione del rischio si concluderà con la successiva azione di monitoraggio nel caso emergano discrasie che comportano la valutazione del livello di rischio a seguito delle azioni di risposta, ossia della misure di prevenzione introdotte. </w:t>
      </w:r>
    </w:p>
    <w:p w:rsidR="00C064DD" w:rsidRPr="0029310E" w:rsidRDefault="00C064DD" w:rsidP="0037688C">
      <w:pPr>
        <w:pStyle w:val="Nessunaspaziatura"/>
        <w:jc w:val="both"/>
        <w:rPr>
          <w:rFonts w:ascii="Times New Roman" w:hAnsi="Times New Roman"/>
          <w:b/>
        </w:rPr>
      </w:pPr>
      <w:bookmarkStart w:id="4" w:name="_Toc405477354"/>
    </w:p>
    <w:p w:rsidR="00C064DD" w:rsidRPr="0029310E" w:rsidRDefault="00C064DD" w:rsidP="0037688C">
      <w:pPr>
        <w:pStyle w:val="Nessunaspaziatura"/>
        <w:jc w:val="both"/>
        <w:rPr>
          <w:rFonts w:ascii="Times New Roman" w:hAnsi="Times New Roman"/>
          <w:b/>
        </w:rPr>
      </w:pPr>
    </w:p>
    <w:p w:rsidR="00C064DD" w:rsidRPr="0029310E" w:rsidRDefault="00C064DD" w:rsidP="0037688C">
      <w:pPr>
        <w:pStyle w:val="Nessunaspaziatura"/>
        <w:jc w:val="both"/>
        <w:rPr>
          <w:rFonts w:ascii="Times New Roman" w:hAnsi="Times New Roman"/>
          <w:b/>
          <w:sz w:val="24"/>
          <w:szCs w:val="24"/>
        </w:rPr>
      </w:pPr>
      <w:r w:rsidRPr="0029310E">
        <w:rPr>
          <w:rFonts w:ascii="Times New Roman" w:hAnsi="Times New Roman"/>
          <w:b/>
          <w:sz w:val="24"/>
          <w:szCs w:val="24"/>
        </w:rPr>
        <w:t>5. FORMAZIONE IN TEMA DI ANTICORRUZIONE</w:t>
      </w:r>
      <w:bookmarkEnd w:id="4"/>
    </w:p>
    <w:p w:rsidR="00C064DD" w:rsidRPr="0029310E" w:rsidRDefault="00C064DD" w:rsidP="0037688C">
      <w:pPr>
        <w:pStyle w:val="Nessunaspaziatura"/>
        <w:jc w:val="both"/>
        <w:rPr>
          <w:rFonts w:ascii="Times New Roman" w:hAnsi="Times New Roman"/>
          <w:b/>
          <w:sz w:val="24"/>
          <w:szCs w:val="24"/>
        </w:rPr>
      </w:pPr>
    </w:p>
    <w:p w:rsidR="00C064DD" w:rsidRPr="0029310E" w:rsidRDefault="00C064DD" w:rsidP="0037688C">
      <w:pPr>
        <w:pStyle w:val="Nessunaspaziatura"/>
        <w:jc w:val="both"/>
        <w:rPr>
          <w:rFonts w:ascii="Times New Roman" w:hAnsi="Times New Roman"/>
          <w:b/>
          <w:sz w:val="24"/>
          <w:szCs w:val="24"/>
        </w:rPr>
      </w:pPr>
      <w:r w:rsidRPr="0029310E">
        <w:rPr>
          <w:rFonts w:ascii="Times New Roman" w:hAnsi="Times New Roman"/>
          <w:b/>
          <w:sz w:val="24"/>
          <w:szCs w:val="24"/>
        </w:rPr>
        <w:t>5.1. Formazione in tema di anticorruzione e programma annuale della formazione</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L’articolo 7-</w:t>
      </w:r>
      <w:r w:rsidRPr="0029310E">
        <w:rPr>
          <w:rFonts w:ascii="Times New Roman" w:hAnsi="Times New Roman" w:cs="Times New Roman"/>
          <w:i/>
        </w:rPr>
        <w:t>bis</w:t>
      </w:r>
      <w:r w:rsidRPr="0029310E">
        <w:rPr>
          <w:rFonts w:ascii="Times New Roman" w:hAnsi="Times New Roman" w:cs="Times New Roman"/>
        </w:rPr>
        <w:t xml:space="preserve"> del decreto legislativo 165/2001 che imponeva a tutte le PA la pianificazione annuale della formazione è stato abrogato dal DPR 16 aprile 2013 numero 70.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L’ente è assoggettato al limite di spesa per la formazione fissato dall’articolo 6 comma 13 del DL 78/2010, per il quale: </w:t>
      </w:r>
    </w:p>
    <w:p w:rsidR="00C064DD" w:rsidRPr="0029310E" w:rsidRDefault="00C064DD" w:rsidP="0037688C">
      <w:pPr>
        <w:pStyle w:val="Corpotesto"/>
        <w:jc w:val="both"/>
        <w:rPr>
          <w:rFonts w:ascii="Times New Roman" w:hAnsi="Times New Roman" w:cs="Times New Roman"/>
          <w:i/>
        </w:rPr>
      </w:pPr>
      <w:r w:rsidRPr="0029310E">
        <w:rPr>
          <w:rFonts w:ascii="Times New Roman" w:hAnsi="Times New Roman" w:cs="Times New Roman"/>
        </w:rPr>
        <w:t>“</w:t>
      </w:r>
      <w:r w:rsidRPr="0029310E">
        <w:rPr>
          <w:rFonts w:ascii="Times New Roman" w:hAnsi="Times New Roman" w:cs="Times New Roman"/>
          <w:i/>
        </w:rPr>
        <w:t xml:space="preserve">a decorrere dall'anno 2011 la spesa annua sostenuta dalle amministrazioni pubbliche […], per attività esclusivamente di formazione deve essere non superiore al 50 per cento della spesa sostenuta nell'anno 2009.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i/>
        </w:rPr>
        <w:t>Le predette amministrazioni svolgono prioritariamente l'attività di formazione tramite la Scuola superiore della pubblica amministrazione ovvero tramite i propri organismi di formazione</w:t>
      </w:r>
      <w:r w:rsidRPr="0029310E">
        <w:rPr>
          <w:rFonts w:ascii="Times New Roman" w:hAnsi="Times New Roman" w:cs="Times New Roman"/>
        </w:rPr>
        <w:t xml:space="preserve">”.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La Corte costituzionale, con la sentenza 182/2011, ha precisato che i limiti fissati dall’articolo 6 del DL 78/2010 per gli enti locali, sono da gestirsi complessivamente e non singolarmente.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Inoltre, la Corte dei conti Emilia Romagna (deliberazione 276/2013), interpretando il vincolo dell’articolo 6 comma 13 del DL 78/2010, alla luce delle disposizioni in tema di contrasto alla corruzione, si è espressa per l’inefficacia del limite per le spese di formazione sostenute in attuazione della legge 190/2012.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Ove possibile la formazione è strutturata su due livelli:</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i/>
        </w:rPr>
        <w:t>livello generale</w:t>
      </w:r>
      <w:r w:rsidRPr="0029310E">
        <w:rPr>
          <w:rFonts w:ascii="Times New Roman" w:hAnsi="Times New Roman" w:cs="Times New Roman"/>
        </w:rPr>
        <w:t xml:space="preserve">, rivolto a tutti i dipendenti: riguarda l'aggiornamento delle competenze (approccio contenutistico) e le tematiche dell'etica e della legalità (approccio valoriale);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i/>
        </w:rPr>
        <w:t>livello specifico</w:t>
      </w:r>
      <w:r w:rsidRPr="0029310E">
        <w:rPr>
          <w:rFonts w:ascii="Times New Roman" w:hAnsi="Times New Roman" w:cs="Times New Roman"/>
        </w:rPr>
        <w:t>, rivolto al responsabile della prevenzione, ai referenti, ai Responsabili e funzionari addetti alle aree a rischio: riguarda le politiche, i programmi e i vari strumenti utilizzati per la prevenzione e tematiche settoriali, in relazione al ruolo svolto da ciascun soggetto nell'amministrazione.</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5.2. Individuazione dei soggetti cui viene erogata la formazione in tema di anticorruzione</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Si demanda al Responsabile per la prevenzione della corruzione il compito di individuare, di concerto con i responsabili e i collaboratori cui somministrare formazione in materia di prevenzione della corruzione e trasparenza.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5.3. Individuazione dei soggetti che erogano la formazione in tema di anticorruzione</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Si demanda al Responsabile per la prevenzione della corruzione il compito di individuare, di concerto con i responsabili, i soggetti incaricati della formazione con particolare riferimento alla Lega dei Comuni, associazione di consulenza presente sul territorio a cui l’ente aderisce.</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La formazione verrà effettuata anche a livello informale mediante tavoli di lavoro con il Segretario e via internet con il NdV;</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5.4. Indicazione dei contenuti della formazione in tema di anticorruzione</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Si demanda al Responsabile per la prevenzione della corruzione il compito di definire i contenuti della formazione anche sulla base del programma che la Scuola della Pubblica Amministrazione proporrà alle amministrazioni dello Stato.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5.5. Indicazione di canali e strumenti di erogazione della formazione in tema di anticorruzione</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La formazione sarà somministrata a mezzo dei più comuni strumenti: seminari in aula, tavoli di lavoro, confronto via internet, ecc.</w:t>
      </w:r>
    </w:p>
    <w:p w:rsidR="00C064DD" w:rsidRPr="0029310E" w:rsidRDefault="00C064DD" w:rsidP="0037688C">
      <w:pPr>
        <w:pStyle w:val="Default"/>
        <w:rPr>
          <w:b/>
          <w:bCs/>
          <w:color w:val="FF0000"/>
          <w:sz w:val="22"/>
          <w:szCs w:val="22"/>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6. CODICE DI COMPORTAMENTO</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6.1. Adozione delle integrazioni al codice di comportamento dei dipendenti pubblici</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L’articolo 54 del decreto legislativo 165/2001, ha previsto che il Governo definisse un “</w:t>
      </w:r>
      <w:r w:rsidRPr="0029310E">
        <w:rPr>
          <w:rFonts w:ascii="Times New Roman" w:hAnsi="Times New Roman" w:cs="Times New Roman"/>
          <w:i/>
        </w:rPr>
        <w:t>Codice di comportamento dei dipendenti delle pubbliche amministrazioni</w:t>
      </w:r>
      <w:r w:rsidRPr="0029310E">
        <w:rPr>
          <w:rFonts w:ascii="Times New Roman" w:hAnsi="Times New Roman" w:cs="Times New Roman"/>
        </w:rPr>
        <w:t xml:space="preserve">”.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Tale Codice di comportamento deve assicurare: </w:t>
      </w:r>
    </w:p>
    <w:p w:rsidR="00C064DD" w:rsidRPr="0029310E" w:rsidRDefault="00C064DD" w:rsidP="004A1CD7">
      <w:pPr>
        <w:pStyle w:val="Corpotesto"/>
        <w:numPr>
          <w:ilvl w:val="0"/>
          <w:numId w:val="6"/>
        </w:numPr>
        <w:ind w:left="426"/>
        <w:jc w:val="both"/>
        <w:rPr>
          <w:rFonts w:ascii="Times New Roman" w:hAnsi="Times New Roman" w:cs="Times New Roman"/>
        </w:rPr>
      </w:pPr>
      <w:r w:rsidRPr="0029310E">
        <w:rPr>
          <w:rFonts w:ascii="Times New Roman" w:hAnsi="Times New Roman" w:cs="Times New Roman"/>
        </w:rPr>
        <w:t xml:space="preserve">la qualità dei servizi; </w:t>
      </w:r>
    </w:p>
    <w:p w:rsidR="00C064DD" w:rsidRPr="0029310E" w:rsidRDefault="00C064DD" w:rsidP="004A1CD7">
      <w:pPr>
        <w:pStyle w:val="Corpotesto"/>
        <w:numPr>
          <w:ilvl w:val="0"/>
          <w:numId w:val="6"/>
        </w:numPr>
        <w:ind w:left="426"/>
        <w:jc w:val="both"/>
        <w:rPr>
          <w:rFonts w:ascii="Times New Roman" w:hAnsi="Times New Roman" w:cs="Times New Roman"/>
        </w:rPr>
      </w:pPr>
      <w:r w:rsidRPr="0029310E">
        <w:rPr>
          <w:rFonts w:ascii="Times New Roman" w:hAnsi="Times New Roman" w:cs="Times New Roman"/>
        </w:rPr>
        <w:t>la prevenzione dei fenomeni di corruzione;</w:t>
      </w:r>
    </w:p>
    <w:p w:rsidR="00C064DD" w:rsidRPr="0029310E" w:rsidRDefault="00C064DD" w:rsidP="004A1CD7">
      <w:pPr>
        <w:pStyle w:val="Corpotesto"/>
        <w:numPr>
          <w:ilvl w:val="0"/>
          <w:numId w:val="6"/>
        </w:numPr>
        <w:ind w:left="426"/>
        <w:jc w:val="both"/>
        <w:rPr>
          <w:rFonts w:ascii="Times New Roman" w:hAnsi="Times New Roman" w:cs="Times New Roman"/>
        </w:rPr>
      </w:pPr>
      <w:r w:rsidRPr="0029310E">
        <w:rPr>
          <w:rFonts w:ascii="Times New Roman" w:hAnsi="Times New Roman" w:cs="Times New Roman"/>
        </w:rPr>
        <w:t xml:space="preserve">il rispetto dei doveri costituzionali di diligenza, lealtà, imparzialità e servizio esclusivo alla cura dell'interesse pubblico.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Il 16 aprile 2013 è stato emanato il DPR 62/2013 recante il suddetto Codice di comportamento.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Il comma 3 dell’articolo 54 del decreto legislativo 165/2001, dispone che ciascuna amministrazione elabori un proprio Codice di comportamento “</w:t>
      </w:r>
      <w:r w:rsidRPr="0029310E">
        <w:rPr>
          <w:rFonts w:ascii="Times New Roman" w:hAnsi="Times New Roman" w:cs="Times New Roman"/>
          <w:i/>
        </w:rPr>
        <w:t>con procedura aperta alla partecipazione e previo parere obbligatorio del proprio organismo indipendente di valutazione</w:t>
      </w:r>
      <w:r w:rsidRPr="0029310E">
        <w:rPr>
          <w:rFonts w:ascii="Times New Roman" w:hAnsi="Times New Roman" w:cs="Times New Roman"/>
        </w:rPr>
        <w:t xml:space="preserve">”. </w:t>
      </w: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In allegato al piano si approva il codice di comportamento (allegato _B__)</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rPr>
      </w:pPr>
      <w:r w:rsidRPr="0029310E">
        <w:rPr>
          <w:rFonts w:ascii="Times New Roman" w:hAnsi="Times New Roman" w:cs="Times New Roman"/>
          <w:bCs w:val="0"/>
          <w:sz w:val="24"/>
        </w:rPr>
        <w:t>6.2. Meccanismi di denuncia delle violazioni del codice di comportamento</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Trova piena applicazione l’articolo 55-</w:t>
      </w:r>
      <w:r w:rsidRPr="0029310E">
        <w:rPr>
          <w:rFonts w:ascii="Times New Roman" w:hAnsi="Times New Roman" w:cs="Times New Roman"/>
          <w:i/>
        </w:rPr>
        <w:t>bis</w:t>
      </w:r>
      <w:r w:rsidRPr="0029310E">
        <w:rPr>
          <w:rFonts w:ascii="Times New Roman" w:hAnsi="Times New Roman" w:cs="Times New Roman"/>
        </w:rPr>
        <w:t xml:space="preserve"> comma 3 del decreto legislativo 165/2001 e smi in materia di segnalazione all’ufficio competente per i procedimenti disciplinari.</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rPr>
      </w:pPr>
      <w:r w:rsidRPr="0029310E">
        <w:rPr>
          <w:rFonts w:ascii="Times New Roman" w:hAnsi="Times New Roman" w:cs="Times New Roman"/>
          <w:bCs w:val="0"/>
          <w:sz w:val="24"/>
        </w:rPr>
        <w:t>6.3. Ufficio competente ad emanare pareri sulla applicazione del codice di comportamento</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L’ufficio competente a svolgere e concludere i procedimenti disciplinari a norma dell’articolo 55-</w:t>
      </w:r>
      <w:r w:rsidRPr="0029310E">
        <w:rPr>
          <w:rFonts w:ascii="Times New Roman" w:hAnsi="Times New Roman" w:cs="Times New Roman"/>
          <w:i/>
        </w:rPr>
        <w:t>bis</w:t>
      </w:r>
      <w:r w:rsidRPr="0029310E">
        <w:rPr>
          <w:rFonts w:ascii="Times New Roman" w:hAnsi="Times New Roman" w:cs="Times New Roman"/>
        </w:rPr>
        <w:t xml:space="preserve"> comma 4 del decreto legislativo 165/2001 e smi è quello del Segretario Comunale. </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rPr>
      </w:pPr>
      <w:bookmarkStart w:id="5" w:name="_Toc405477356"/>
      <w:r w:rsidRPr="0029310E">
        <w:rPr>
          <w:rFonts w:ascii="Times New Roman" w:hAnsi="Times New Roman" w:cs="Times New Roman"/>
          <w:bCs w:val="0"/>
          <w:sz w:val="24"/>
        </w:rPr>
        <w:t>7. ALTRE INIZIATIVE</w:t>
      </w:r>
      <w:bookmarkEnd w:id="5"/>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rPr>
      </w:pPr>
      <w:r w:rsidRPr="0029310E">
        <w:rPr>
          <w:rFonts w:ascii="Times New Roman" w:hAnsi="Times New Roman" w:cs="Times New Roman"/>
          <w:bCs w:val="0"/>
          <w:sz w:val="24"/>
        </w:rPr>
        <w:t xml:space="preserve">7.1. Indicazione dei criteri di rotazione del personale  </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La dotazione organica dell’ente è assai limitata e non consente, di fatto, l’applicazione concreta del criterio della rotazione.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lastRenderedPageBreak/>
        <w:t xml:space="preserve">Non esistono figure professionali perfettamente fungibili. </w:t>
      </w:r>
    </w:p>
    <w:p w:rsidR="00C064DD" w:rsidRPr="0029310E" w:rsidRDefault="00C064DD" w:rsidP="0037688C">
      <w:pPr>
        <w:spacing w:after="0"/>
        <w:jc w:val="both"/>
        <w:rPr>
          <w:rFonts w:ascii="Times New Roman" w:hAnsi="Times New Roman"/>
          <w:color w:val="000000"/>
        </w:rPr>
      </w:pPr>
      <w:r w:rsidRPr="0029310E">
        <w:rPr>
          <w:rFonts w:ascii="Times New Roman" w:hAnsi="Times New Roman"/>
          <w:color w:val="000000"/>
        </w:rPr>
        <w:t xml:space="preserve">La legge di stabilità per il 2016 (legge 208/2015), al comma 221, prevede quanto segue: “(…) </w:t>
      </w:r>
      <w:r w:rsidRPr="0029310E">
        <w:rPr>
          <w:rFonts w:ascii="Times New Roman" w:hAnsi="Times New Roman"/>
          <w:i/>
          <w:color w:val="000000"/>
        </w:rPr>
        <w:t>non trovano applicazione le disposizioni adottate ai sensi dell'articolo 1 comma 5 della legge 190/2012, ove la dimensione dell'ente risulti incompatibile con la rotazione dell'incarico dirigenziale</w:t>
      </w:r>
      <w:r w:rsidRPr="0029310E">
        <w:rPr>
          <w:rFonts w:ascii="Times New Roman" w:hAnsi="Times New Roman"/>
          <w:color w:val="000000"/>
        </w:rPr>
        <w:t xml:space="preserve">”.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7.2. Indicazione delle disposizioni relative al ricorso all'arbitrato con modalità che ne assicurino la pubblicità e la rotazione</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Sistematicamente in tutti i contratti futuri dell’ente si intende escludere il ricorso all’arbitrato (esclusione della </w:t>
      </w:r>
      <w:r w:rsidRPr="0029310E">
        <w:rPr>
          <w:rFonts w:ascii="Times New Roman" w:hAnsi="Times New Roman" w:cs="Times New Roman"/>
          <w:bCs/>
          <w:i/>
        </w:rPr>
        <w:t>clausola compromissoria</w:t>
      </w:r>
      <w:r w:rsidRPr="0029310E">
        <w:rPr>
          <w:rFonts w:ascii="Times New Roman" w:hAnsi="Times New Roman" w:cs="Times New Roman"/>
          <w:bCs/>
        </w:rPr>
        <w:t xml:space="preserve"> ai sensi dell’articolo 241 comma 1-bis del decreto legislativo 163/2006 e smi).</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7.3. Elaborazione della proposta di decreto per disciplinare gli incarichi e le attività non consentite ai pubblici dipendenti</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L’ente applica la già esaustiva e dettagliata disciplina del decreto legislativo 39/2013, dell’articolo 53 del decreto legislativo 165/2001 e dell’articolo 60 del DPR 3/1957.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L’ente intende intraprendere adeguate iniziative per dare conoscenza al personale dell'obbligo di astensione, delle conseguenze scaturenti dalla sua violazione e dei comportamenti da seguire in caso di conflitto di interesse.</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7.4. Elaborazione di direttive per l'attribuzione degli incarichi dirigenziali, con la definizione delle cause ostative al conferimento e verifica dell’insussistenza di cause di incompatibilità</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L’ente applica la già esaustiva e dettagliata disciplina recata dagli articoli 50 comma 10, 107 e 109 del TUEL e dagli articoli 13 – 27 del decreto legislativo 165/2001 e smi.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Inoltre, l’ente applica le disposizioni del decreto legislativo 39/2013 ed in particolare l’articolo 20 rubricato: </w:t>
      </w:r>
      <w:r w:rsidRPr="0029310E">
        <w:rPr>
          <w:rFonts w:ascii="Times New Roman" w:hAnsi="Times New Roman" w:cs="Times New Roman"/>
          <w:bCs/>
          <w:i/>
        </w:rPr>
        <w:t>dichiarazione sulla insussistenza di cause di inconferibilità o incompatibilità</w:t>
      </w:r>
      <w:r w:rsidRPr="0029310E">
        <w:rPr>
          <w:rFonts w:ascii="Times New Roman" w:hAnsi="Times New Roman" w:cs="Times New Roman"/>
          <w:bCs/>
        </w:rPr>
        <w:t>.</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7.5. Definizione di modalità per verificare il rispetto del divieto di svolgere attività incompatibili a seguito della cessazione del rapporto</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La legge 190/2012 ha integrato l’articolo 53 del decreto legislativo 165/2001 con un nuovo comma il 16-</w:t>
      </w:r>
      <w:r w:rsidRPr="0029310E">
        <w:rPr>
          <w:rFonts w:ascii="Times New Roman" w:hAnsi="Times New Roman" w:cs="Times New Roman"/>
          <w:bCs/>
          <w:i/>
        </w:rPr>
        <w:t>ter</w:t>
      </w:r>
      <w:r w:rsidRPr="0029310E">
        <w:rPr>
          <w:rFonts w:ascii="Times New Roman" w:hAnsi="Times New Roman" w:cs="Times New Roman"/>
          <w:bCs/>
        </w:rPr>
        <w:t xml:space="preserve"> per contenere il rischio di situazioni di corruzione connesse all'impiego del dipendente pubblico successivamente alla cessazione del suo rapporto di lavoro.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La norma vieta ai dipendenti che, negli ultimi tre anni di servizio, abbiano esercitato poteri autoritativi o negoziali per conto delle pubbliche amministrazioni, di svolgere, nei tre anni successivi alla cessazione del rapporto di pubblico impiego, attività lavorativa o professionale presso i soggetti privati destinatari dell'attività della pubblica amministrazione svolta attraverso i medesimi poteri.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Eventuali contratti conclusi e gli incarichi conferiti in violazione del divieto sono nulli.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E’ fatto divieto ai soggetti privati che li hanno conclusi o conferiti di contrattare con le pubbliche amministrazioni per i successivi tre anni, con obbligo di restituzione dei compensi eventualmente percepiti e accertati ad essi riferiti.</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Il rischio valutato dalla norma è che durante il periodo di servizio il dipendente possa artatamente precostituirsi delle situazioni lavorative vantaggiose, sfruttare a proprio fine la sua posizione e il suo potere all'interno dell'amministrazione, per poi ottenere contratti di lavoro/collaborazione presso imprese o privati con cui entra in contatto.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La norma limita la libertà negoziale del dipendente per un determinato periodo successivo alla cessazione del rapporto per eliminare la </w:t>
      </w:r>
      <w:r w:rsidRPr="0029310E">
        <w:rPr>
          <w:rFonts w:ascii="Times New Roman" w:hAnsi="Times New Roman" w:cs="Times New Roman"/>
          <w:bCs/>
          <w:i/>
        </w:rPr>
        <w:t>"convenienza"</w:t>
      </w:r>
      <w:r w:rsidRPr="0029310E">
        <w:rPr>
          <w:rFonts w:ascii="Times New Roman" w:hAnsi="Times New Roman" w:cs="Times New Roman"/>
          <w:bCs/>
        </w:rPr>
        <w:t xml:space="preserve"> di eventuali accordi fraudolenti.</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bCs w:val="0"/>
          <w:sz w:val="24"/>
          <w:szCs w:val="24"/>
        </w:rPr>
      </w:pPr>
      <w:r w:rsidRPr="0029310E">
        <w:rPr>
          <w:rFonts w:ascii="Times New Roman" w:hAnsi="Times New Roman" w:cs="Times New Roman"/>
          <w:bCs w:val="0"/>
          <w:sz w:val="24"/>
          <w:szCs w:val="24"/>
        </w:rPr>
        <w:t>7.6. Elaborazione di direttive per effettuare controlli su precedenti penali ai fini dell'attribuzione degli incarichi e dell'assegnazione ad uffici</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lastRenderedPageBreak/>
        <w:t xml:space="preserve">La legge 190/2012 ha introdotto delle misure di prevenzione di carattere soggettivo, che anticipano la tutela al momento della formazione degli organi deputati ad assumere decisioni e ad esercitare poteri nelle amministrazioni.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L’articolo 35-</w:t>
      </w:r>
      <w:r w:rsidRPr="0029310E">
        <w:rPr>
          <w:rFonts w:ascii="Times New Roman" w:hAnsi="Times New Roman" w:cs="Times New Roman"/>
          <w:bCs/>
          <w:i/>
          <w:iCs/>
        </w:rPr>
        <w:t>bis</w:t>
      </w:r>
      <w:r w:rsidRPr="0029310E">
        <w:rPr>
          <w:rFonts w:ascii="Times New Roman" w:hAnsi="Times New Roman" w:cs="Times New Roman"/>
          <w:bCs/>
        </w:rPr>
        <w:t xml:space="preserve"> del decreto legislativo 165/2001 pone condizioni ostative per la partecipazione a commissioni di concorso o di gara e per lo svolgimento di funzioni direttive in riferimento agli uffici considerati a più elevato rischio di corruzione.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La norma in particolare prevede che c</w:t>
      </w:r>
      <w:r w:rsidRPr="0029310E">
        <w:rPr>
          <w:rFonts w:ascii="Times New Roman" w:hAnsi="Times New Roman" w:cs="Times New Roman"/>
          <w:bCs/>
          <w:iCs/>
        </w:rPr>
        <w:t>oloro che siano stati condannati, anche con sentenza non passata in giudicato, per i reati previsti nel Capo I del Titolo II del libro secondo del Codice penale:</w:t>
      </w:r>
    </w:p>
    <w:p w:rsidR="00C064DD" w:rsidRPr="0029310E" w:rsidRDefault="00C064DD" w:rsidP="0037688C">
      <w:pPr>
        <w:pStyle w:val="Corpotesto"/>
        <w:numPr>
          <w:ilvl w:val="0"/>
          <w:numId w:val="13"/>
        </w:numPr>
        <w:suppressAutoHyphens w:val="0"/>
        <w:jc w:val="both"/>
        <w:rPr>
          <w:rFonts w:ascii="Times New Roman" w:hAnsi="Times New Roman" w:cs="Times New Roman"/>
          <w:bCs/>
          <w:iCs/>
        </w:rPr>
      </w:pPr>
      <w:r w:rsidRPr="0029310E">
        <w:rPr>
          <w:rFonts w:ascii="Times New Roman" w:hAnsi="Times New Roman" w:cs="Times New Roman"/>
          <w:bCs/>
          <w:iCs/>
        </w:rPr>
        <w:t>non possano fare parte, anche con compiti di segreteria, di commissioni per l'accesso o la selezione a pubblici impieghi;</w:t>
      </w:r>
    </w:p>
    <w:p w:rsidR="00C064DD" w:rsidRPr="0029310E" w:rsidRDefault="00C064DD" w:rsidP="0037688C">
      <w:pPr>
        <w:pStyle w:val="Corpotesto"/>
        <w:numPr>
          <w:ilvl w:val="0"/>
          <w:numId w:val="13"/>
        </w:numPr>
        <w:suppressAutoHyphens w:val="0"/>
        <w:jc w:val="both"/>
        <w:rPr>
          <w:rFonts w:ascii="Times New Roman" w:hAnsi="Times New Roman" w:cs="Times New Roman"/>
          <w:bCs/>
          <w:iCs/>
        </w:rPr>
      </w:pPr>
      <w:r w:rsidRPr="0029310E">
        <w:rPr>
          <w:rFonts w:ascii="Times New Roman" w:hAnsi="Times New Roman" w:cs="Times New Roman"/>
          <w:bCs/>
          <w:iCs/>
        </w:rPr>
        <w:t xml:space="preserve">non possano essere assegnati, anche con funzioni direttive, agli uffici preposti alla gestione delle risorse finanziarie, all'acquisizione di beni, servizi e forniture, </w:t>
      </w:r>
    </w:p>
    <w:p w:rsidR="00C064DD" w:rsidRPr="0029310E" w:rsidRDefault="00C064DD" w:rsidP="0037688C">
      <w:pPr>
        <w:pStyle w:val="Corpotesto"/>
        <w:numPr>
          <w:ilvl w:val="0"/>
          <w:numId w:val="13"/>
        </w:numPr>
        <w:suppressAutoHyphens w:val="0"/>
        <w:jc w:val="both"/>
        <w:rPr>
          <w:rFonts w:ascii="Times New Roman" w:hAnsi="Times New Roman" w:cs="Times New Roman"/>
          <w:bCs/>
          <w:iCs/>
        </w:rPr>
      </w:pPr>
      <w:r w:rsidRPr="0029310E">
        <w:rPr>
          <w:rFonts w:ascii="Times New Roman" w:hAnsi="Times New Roman" w:cs="Times New Roman"/>
          <w:bCs/>
          <w:iCs/>
        </w:rPr>
        <w:t>non possano essere assegnati, anche con funzioni direttive, agli uffici preposti alla concessione o all'erogazione di sovvenzioni, contributi, sussidi, ausili finanziari o attribuzioni di vantaggi economici a soggetti pubblici e privati;</w:t>
      </w:r>
    </w:p>
    <w:p w:rsidR="00C064DD" w:rsidRPr="0029310E" w:rsidRDefault="00C064DD" w:rsidP="0037688C">
      <w:pPr>
        <w:pStyle w:val="Corpotesto"/>
        <w:numPr>
          <w:ilvl w:val="0"/>
          <w:numId w:val="13"/>
        </w:numPr>
        <w:suppressAutoHyphens w:val="0"/>
        <w:jc w:val="both"/>
        <w:rPr>
          <w:rFonts w:ascii="Times New Roman" w:hAnsi="Times New Roman" w:cs="Times New Roman"/>
          <w:bCs/>
          <w:iCs/>
        </w:rPr>
      </w:pPr>
      <w:r w:rsidRPr="0029310E">
        <w:rPr>
          <w:rFonts w:ascii="Times New Roman" w:hAnsi="Times New Roman" w:cs="Times New Roman"/>
          <w:bCs/>
          <w:iCs/>
        </w:rPr>
        <w:t>non possano fare parte delle commissioni per la scelta del contraente per l'affidamento di lavori, forniture e servizi, per la concessione o l'erogazione di sovvenzioni, contributi, sussidi, ausili finanziari, nonché per l'attribuzione di vantaggi economici di qualunque genere.</w:t>
      </w:r>
    </w:p>
    <w:p w:rsidR="00C064DD" w:rsidRPr="0029310E" w:rsidRDefault="00C064DD" w:rsidP="0037688C">
      <w:pPr>
        <w:pStyle w:val="Corpotesto"/>
        <w:jc w:val="both"/>
        <w:rPr>
          <w:rFonts w:ascii="Times New Roman" w:hAnsi="Times New Roman" w:cs="Times New Roman"/>
          <w:b/>
          <w:bCs/>
        </w:rPr>
      </w:pPr>
      <w:r w:rsidRPr="0029310E">
        <w:rPr>
          <w:rFonts w:ascii="Times New Roman" w:hAnsi="Times New Roman" w:cs="Times New Roman"/>
          <w:bCs/>
        </w:rPr>
        <w:t>Pertanto, ogni commissario e/o responsabile all’atto della designazione sarà tenuto a rendere, ai sensi del DPR 445/2000, una dichiarazione di insussistenza delle condizioni di incompatibilità di cui sopra anche all’interno dei verbali di selezione o di gara.</w:t>
      </w:r>
    </w:p>
    <w:p w:rsidR="00C064DD" w:rsidRPr="0029310E" w:rsidRDefault="00C064DD" w:rsidP="0037688C">
      <w:pPr>
        <w:pStyle w:val="Nessunaspaziatura"/>
        <w:jc w:val="both"/>
        <w:rPr>
          <w:rFonts w:ascii="Times New Roman" w:hAnsi="Times New Roman"/>
          <w:b/>
          <w:sz w:val="24"/>
          <w:szCs w:val="24"/>
        </w:rPr>
      </w:pPr>
    </w:p>
    <w:p w:rsidR="00C064DD" w:rsidRPr="0029310E" w:rsidRDefault="00C064DD" w:rsidP="0037688C">
      <w:pPr>
        <w:pStyle w:val="Nessunaspaziatura"/>
        <w:jc w:val="both"/>
        <w:rPr>
          <w:rFonts w:ascii="Times New Roman" w:hAnsi="Times New Roman"/>
          <w:b/>
          <w:sz w:val="24"/>
          <w:szCs w:val="24"/>
        </w:rPr>
      </w:pPr>
      <w:r w:rsidRPr="0029310E">
        <w:rPr>
          <w:rFonts w:ascii="Times New Roman" w:hAnsi="Times New Roman"/>
          <w:b/>
          <w:sz w:val="24"/>
          <w:szCs w:val="24"/>
        </w:rPr>
        <w:t>7.7. Adozione di misure per la tutela del dipendente che effettua segnalazioni di illecito (</w:t>
      </w:r>
      <w:r w:rsidRPr="0029310E">
        <w:rPr>
          <w:rFonts w:ascii="Times New Roman" w:hAnsi="Times New Roman"/>
          <w:b/>
          <w:i/>
          <w:sz w:val="24"/>
          <w:szCs w:val="24"/>
        </w:rPr>
        <w:t>whistleblower</w:t>
      </w:r>
      <w:r w:rsidRPr="0029310E">
        <w:rPr>
          <w:rFonts w:ascii="Times New Roman" w:hAnsi="Times New Roman"/>
          <w:b/>
          <w:sz w:val="24"/>
          <w:szCs w:val="24"/>
        </w:rPr>
        <w:t>)</w:t>
      </w: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
        <w:jc w:val="both"/>
        <w:rPr>
          <w:rFonts w:ascii="Times New Roman" w:hAnsi="Times New Roman"/>
        </w:rPr>
      </w:pPr>
      <w:r w:rsidRPr="0029310E">
        <w:rPr>
          <w:rFonts w:ascii="Times New Roman" w:hAnsi="Times New Roman"/>
        </w:rPr>
        <w:t>L’Autorità nazionale anticorruzione il 28 aprile 2015 ha approvato le “</w:t>
      </w:r>
      <w:r w:rsidRPr="0029310E">
        <w:rPr>
          <w:rFonts w:ascii="Times New Roman" w:hAnsi="Times New Roman"/>
          <w:i/>
        </w:rPr>
        <w:t>Linee guida in materia di tutela del dipendente pubblico che segnala  illeciti (c.d. whistleblower)</w:t>
      </w:r>
      <w:r w:rsidRPr="0029310E">
        <w:rPr>
          <w:rFonts w:ascii="Times New Roman" w:hAnsi="Times New Roman"/>
        </w:rPr>
        <w:t xml:space="preserve">” (determinazione n. 6 del 28 aprile 2015, pubblicata il 6 maggio 2015).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La tutela del </w:t>
      </w:r>
      <w:r w:rsidRPr="0029310E">
        <w:rPr>
          <w:rFonts w:ascii="Times New Roman" w:hAnsi="Times New Roman"/>
          <w:i/>
        </w:rPr>
        <w:t xml:space="preserve">whistleblower </w:t>
      </w:r>
      <w:r w:rsidRPr="0029310E">
        <w:rPr>
          <w:rFonts w:ascii="Times New Roman" w:hAnsi="Times New Roman"/>
        </w:rPr>
        <w:t>è un dovere di tutte le amministrazioni pubbliche le quali, a tal fine, devono assumere “</w:t>
      </w:r>
      <w:r w:rsidRPr="0029310E">
        <w:rPr>
          <w:rFonts w:ascii="Times New Roman" w:hAnsi="Times New Roman"/>
          <w:i/>
        </w:rPr>
        <w:t>concrete misure di tutela del dipendente</w:t>
      </w:r>
      <w:r w:rsidRPr="0029310E">
        <w:rPr>
          <w:rFonts w:ascii="Times New Roman" w:hAnsi="Times New Roman"/>
        </w:rPr>
        <w:t>” da specificare nel Piano triennale di prevenzione della corruzione.</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La legge 190/2012 ha aggiunto al d.lgs. 165/2001 l’articolo 54-bis.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La norma prevede che il pubblico dipendente che denunci all'autorità giudiziaria o alla Corte dei conti, o all'ANAC, ovvero riferisca al proprio superiore gerarchico condotte illecite di cui sia venuto a conoscenza in ragione del rapporto di lavoro, non possa</w:t>
      </w:r>
      <w:r w:rsidRPr="0029310E">
        <w:rPr>
          <w:rFonts w:ascii="Times New Roman" w:hAnsi="Times New Roman"/>
          <w:i/>
        </w:rPr>
        <w:t xml:space="preserve"> “essere sanzionato, licenziato o sottoposto ad una misura discriminatoria, diretta o indiretta, avente effetti sulle condizioni di lavoro per motivi collegati direttamente o indirettamente alla denuncia</w:t>
      </w:r>
      <w:r w:rsidRPr="0029310E">
        <w:rPr>
          <w:rFonts w:ascii="Times New Roman" w:hAnsi="Times New Roman"/>
        </w:rPr>
        <w:t>”.</w:t>
      </w:r>
    </w:p>
    <w:p w:rsidR="00C064DD" w:rsidRPr="0029310E" w:rsidRDefault="00C064DD" w:rsidP="0037688C">
      <w:pPr>
        <w:pStyle w:val="Nessunaspaziatura"/>
        <w:jc w:val="both"/>
        <w:rPr>
          <w:rFonts w:ascii="Times New Roman" w:hAnsi="Times New Roman"/>
        </w:rPr>
      </w:pPr>
    </w:p>
    <w:p w:rsidR="00C064DD" w:rsidRPr="0029310E" w:rsidRDefault="00C064DD" w:rsidP="0037688C">
      <w:pPr>
        <w:pStyle w:val="Nessunaspaziatura1"/>
        <w:jc w:val="both"/>
        <w:rPr>
          <w:rFonts w:ascii="Times New Roman" w:hAnsi="Times New Roman"/>
          <w:bCs/>
          <w:iCs/>
        </w:rPr>
      </w:pPr>
      <w:r w:rsidRPr="0029310E">
        <w:rPr>
          <w:rFonts w:ascii="Times New Roman" w:hAnsi="Times New Roman"/>
        </w:rPr>
        <w:t xml:space="preserve">Contrariamente a quanto stabilito dall’art. 54-bis, L’ANAC ritiene che la segnalazione sia da rivolgere al Responsabile della prevenzione della corruzione locale e non al superiore gerarchico. Ciò al fine di assicurare l’assoluta riservatezza del segnalante. Il procedimento per la gestione delle segnalazioni ha quale principale scopo quello di proteggere la riservatezza dell’identità del segnalante in ogni fase. Qualora le segnalazioni riguardino il Responsabile anticorruzione, gli interessati possono inviare le stesse direttamente all’ANAC. </w:t>
      </w:r>
      <w:r w:rsidRPr="0029310E">
        <w:rPr>
          <w:rFonts w:ascii="Times New Roman" w:hAnsi="Times New Roman"/>
          <w:bCs/>
          <w:iCs/>
        </w:rPr>
        <w:t xml:space="preserve">L’ANAC è chiamata a gestire sia le eventuali segnalazioni dei propri dipendenti per fatti avvenuti all’interno della propria organizzazione, sia le segnalazioni che i dipendenti di altre amministrazioni intendono indirizzarle. </w:t>
      </w:r>
    </w:p>
    <w:p w:rsidR="00C064DD" w:rsidRPr="0029310E" w:rsidRDefault="00C064DD" w:rsidP="0037688C">
      <w:pPr>
        <w:pStyle w:val="Nessunaspaziatura1"/>
        <w:jc w:val="both"/>
        <w:rPr>
          <w:rFonts w:ascii="Times New Roman" w:hAnsi="Times New Roman"/>
        </w:rPr>
      </w:pPr>
      <w:r w:rsidRPr="0029310E">
        <w:rPr>
          <w:rFonts w:ascii="Times New Roman" w:hAnsi="Times New Roman"/>
          <w:bCs/>
          <w:iCs/>
        </w:rPr>
        <w:t>Conseguentemente, l’ANAC, con la determinazione n. 6 del 28 aprile 2015, ha disciplinato le procedure attraverso le quali riceve e gestisce le segnalazioni.</w:t>
      </w:r>
    </w:p>
    <w:p w:rsidR="00C064DD" w:rsidRPr="0029310E" w:rsidRDefault="00C064DD" w:rsidP="0037688C">
      <w:pPr>
        <w:pStyle w:val="Nessunaspaziatura1"/>
        <w:jc w:val="both"/>
        <w:rPr>
          <w:rFonts w:ascii="Times New Roman" w:hAnsi="Times New Roman"/>
        </w:rPr>
      </w:pPr>
      <w:r w:rsidRPr="0029310E">
        <w:rPr>
          <w:rFonts w:ascii="Times New Roman" w:hAnsi="Times New Roman"/>
        </w:rPr>
        <w:t>In un Comune di queste ridotte dimensioni ove il RPC è anche il Segretario Comunale con compiti gestionali, si ritiene che sia opportuno al fine di riservatezza del segnalante individuare nell’ANAC il soggetto  cui inviare le segnalazioni anonime.</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La norma intende proteggere il dipendente che, per via della propria segnalazione, rischi di vedere compromesse le proprie condizioni di lavoro.</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L’art. 54-bis del d.lgs. 165/2001 fissa un limite alla predetta tutela nei “casi di responsabilità a titolo di calunnia o diffamazione o per lo stesso titolo ai sensi dell’art. 2043 del codice civile”.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lastRenderedPageBreak/>
        <w:t xml:space="preserve">La tutela del whistleblower trova applicazione quando il comportamento del dipendente segnalante non perfezioni le ipotesi di reato di calunnia o diffamazione.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Il dipendente deve essere “in buona fede”. Conseguentemente la tutela viene meno quando la segnalazione riguardi informazioni false, rese colposamente o dolosamente.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Tuttavia, la norma è  assai lacunosa in merito all’individuazione del momento in cui cessa la garanzia della tutela.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 xml:space="preserve">L’art. 54-bis riporta un generico riferimento alle responsabilità penali per calunnia o diffamazione o a quella civile extracontrattuale, il che presuppone che tali responsabilità vengano accertate in sede giudiziale. </w:t>
      </w:r>
    </w:p>
    <w:p w:rsidR="00C064DD" w:rsidRPr="0029310E" w:rsidRDefault="00C064DD" w:rsidP="0037688C">
      <w:pPr>
        <w:pStyle w:val="Nessunaspaziatura"/>
        <w:jc w:val="both"/>
        <w:rPr>
          <w:rFonts w:ascii="Times New Roman" w:hAnsi="Times New Roman"/>
        </w:rPr>
      </w:pPr>
      <w:r w:rsidRPr="0029310E">
        <w:rPr>
          <w:rFonts w:ascii="Times New Roman" w:hAnsi="Times New Roman"/>
        </w:rPr>
        <w:t>L’ANAC, consapevole dell’evidente lacuna normativa,  ritiene che “solo in presenza di una sentenza di primo grado sfavorevole al segnalante cessino le condizioni di tutela” riservate allo stesso.</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r w:rsidRPr="0029310E">
        <w:rPr>
          <w:rFonts w:ascii="Times New Roman" w:hAnsi="Times New Roman" w:cs="Times New Roman"/>
          <w:sz w:val="24"/>
          <w:szCs w:val="24"/>
        </w:rPr>
        <w:t>7.8. Realizzazione del sistema di monitoraggio del rispetto dei termini, previsti dalla legge o dal regolamento, per la conclusione dei procedimenti</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Attraverso il monitoraggio possono emergere eventuali omissioni o ritardi ingiustificati che possono essere sintomo di fenomeni corruttivi.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Il sistema di monitoraggio dei principali procedimenti è attivato nell’ambito del </w:t>
      </w:r>
      <w:r w:rsidRPr="0029310E">
        <w:rPr>
          <w:rFonts w:ascii="Times New Roman" w:hAnsi="Times New Roman" w:cs="Times New Roman"/>
          <w:bCs/>
          <w:i/>
        </w:rPr>
        <w:t>controllo di gestione</w:t>
      </w:r>
      <w:r w:rsidRPr="0029310E">
        <w:rPr>
          <w:rFonts w:ascii="Times New Roman" w:hAnsi="Times New Roman" w:cs="Times New Roman"/>
          <w:bCs/>
        </w:rPr>
        <w:t xml:space="preserve"> dell’ente.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r w:rsidRPr="0029310E">
        <w:rPr>
          <w:rFonts w:ascii="Times New Roman" w:hAnsi="Times New Roman" w:cs="Times New Roman"/>
          <w:sz w:val="24"/>
          <w:szCs w:val="24"/>
        </w:rPr>
        <w:t>7.9. Realizzazione di un sistema di monitoraggio dei rapporti tra l'amministrazione e i soggetti che con essa stipulano contratti e indicazione delle ulteriori iniziative nell'ambito dei contratti pubblici</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Il sistema di monitoraggio è attivato nell’ambito del </w:t>
      </w:r>
      <w:r w:rsidRPr="0029310E">
        <w:rPr>
          <w:rFonts w:ascii="Times New Roman" w:hAnsi="Times New Roman" w:cs="Times New Roman"/>
          <w:bCs/>
          <w:i/>
        </w:rPr>
        <w:t>controllo di gestione</w:t>
      </w:r>
      <w:r w:rsidRPr="0029310E">
        <w:rPr>
          <w:rFonts w:ascii="Times New Roman" w:hAnsi="Times New Roman" w:cs="Times New Roman"/>
          <w:bCs/>
        </w:rPr>
        <w:t xml:space="preserve"> dell’ente.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r w:rsidRPr="0029310E">
        <w:rPr>
          <w:rFonts w:ascii="Times New Roman" w:hAnsi="Times New Roman" w:cs="Times New Roman"/>
          <w:sz w:val="24"/>
          <w:szCs w:val="24"/>
        </w:rPr>
        <w:t>7.10. Indicazione delle iniziative previste nell'ambito dell'erogazione di sovvenzioni, contributi, sussidi, ausili finanziari nonché attribuzione di vantaggi economici di qualunque genere</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Sovvenzioni, contributi, sussidi, ausili finanziari, nonché attribuzioni di vantaggi economici di qualunque genere, sono elargiti esclusivamente alle condizioni e secondo la disciplina del regolamento previsto dall’articolo 12 della legge 241/1990.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Detto regolamento sarà approvato dall’organo consiliare nelle more dell’approvazione in forza di quanto previsto dallo statuto dell’Unione trova applicazione il corrispondente regolamento del comune capofila (Borgo Priolo)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Ogni provvedimento d’attribuzione/elargizione è pubblicato sul sito istituzionale dell’ente nella sezione “</w:t>
      </w:r>
      <w:r w:rsidRPr="0029310E">
        <w:rPr>
          <w:rFonts w:ascii="Times New Roman" w:hAnsi="Times New Roman" w:cs="Times New Roman"/>
          <w:bCs/>
          <w:i/>
        </w:rPr>
        <w:t>amministrazione trasparente</w:t>
      </w:r>
      <w:r w:rsidRPr="0029310E">
        <w:rPr>
          <w:rFonts w:ascii="Times New Roman" w:hAnsi="Times New Roman" w:cs="Times New Roman"/>
          <w:bCs/>
        </w:rPr>
        <w:t>”, oltre che all’albo online e nella sezione “</w:t>
      </w:r>
      <w:r w:rsidRPr="0029310E">
        <w:rPr>
          <w:rFonts w:ascii="Times New Roman" w:hAnsi="Times New Roman" w:cs="Times New Roman"/>
          <w:bCs/>
          <w:i/>
        </w:rPr>
        <w:t>determinazioni/deliberazioni</w:t>
      </w:r>
      <w:r w:rsidRPr="0029310E">
        <w:rPr>
          <w:rFonts w:ascii="Times New Roman" w:hAnsi="Times New Roman" w:cs="Times New Roman"/>
          <w:bCs/>
        </w:rPr>
        <w:t>”.</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Ancor prima dell’entrata in vigore del decreto legislativo 33/2013, che ha promosso la sezione del sito “</w:t>
      </w:r>
      <w:r w:rsidRPr="0029310E">
        <w:rPr>
          <w:rFonts w:ascii="Times New Roman" w:hAnsi="Times New Roman" w:cs="Times New Roman"/>
          <w:bCs/>
          <w:i/>
        </w:rPr>
        <w:t>amministrazione trasparente</w:t>
      </w:r>
      <w:r w:rsidRPr="0029310E">
        <w:rPr>
          <w:rFonts w:ascii="Times New Roman" w:hAnsi="Times New Roman" w:cs="Times New Roman"/>
          <w:bCs/>
        </w:rPr>
        <w:t>, detti provvedimenti sono stati sempre pubblicati all’albo online e nella sezione “</w:t>
      </w:r>
      <w:r w:rsidRPr="0029310E">
        <w:rPr>
          <w:rFonts w:ascii="Times New Roman" w:hAnsi="Times New Roman" w:cs="Times New Roman"/>
          <w:bCs/>
          <w:i/>
        </w:rPr>
        <w:t>determinazioni/deliberazioni</w:t>
      </w:r>
      <w:r w:rsidRPr="0029310E">
        <w:rPr>
          <w:rFonts w:ascii="Times New Roman" w:hAnsi="Times New Roman" w:cs="Times New Roman"/>
          <w:bCs/>
        </w:rPr>
        <w:t xml:space="preserve">” del sito web istituzionale.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r w:rsidRPr="0029310E">
        <w:rPr>
          <w:rFonts w:ascii="Times New Roman" w:hAnsi="Times New Roman" w:cs="Times New Roman"/>
          <w:sz w:val="24"/>
          <w:szCs w:val="24"/>
        </w:rPr>
        <w:t>7.11. Indicazione delle iniziative previste nell'ambito di concorsi e selezione del personale</w:t>
      </w:r>
    </w:p>
    <w:p w:rsidR="00C064DD" w:rsidRPr="0029310E" w:rsidRDefault="00C064DD" w:rsidP="0037688C">
      <w:pPr>
        <w:pStyle w:val="Corpotesto"/>
        <w:jc w:val="both"/>
        <w:rPr>
          <w:rFonts w:ascii="Times New Roman" w:hAnsi="Times New Roman" w:cs="Times New Roman"/>
          <w:bCs/>
        </w:rPr>
      </w:pP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 xml:space="preserve">I concorsi e le procedure selettive si svolgono secondo le prescrizioni del decreto legislativo 165/2001 e del regolamento di organizzazione dell’ente approvato con apposita deliberazione di G.C. </w:t>
      </w:r>
    </w:p>
    <w:p w:rsidR="00C064DD" w:rsidRPr="0029310E" w:rsidRDefault="00C064DD" w:rsidP="0037688C">
      <w:pPr>
        <w:pStyle w:val="Corpotesto"/>
        <w:jc w:val="both"/>
        <w:rPr>
          <w:rFonts w:ascii="Times New Roman" w:hAnsi="Times New Roman" w:cs="Times New Roman"/>
          <w:bCs/>
        </w:rPr>
      </w:pPr>
      <w:r w:rsidRPr="0029310E">
        <w:rPr>
          <w:rFonts w:ascii="Times New Roman" w:hAnsi="Times New Roman" w:cs="Times New Roman"/>
          <w:bCs/>
        </w:rPr>
        <w:t>Ogni provvedimento relativo a concorsi e procedure selettive è prontamente pubblicato sul sito istituzionale dell’ente nella sezione “</w:t>
      </w:r>
      <w:r w:rsidRPr="0029310E">
        <w:rPr>
          <w:rFonts w:ascii="Times New Roman" w:hAnsi="Times New Roman" w:cs="Times New Roman"/>
          <w:bCs/>
          <w:i/>
        </w:rPr>
        <w:t>amministrazione trasparente</w:t>
      </w:r>
      <w:r w:rsidRPr="0029310E">
        <w:rPr>
          <w:rFonts w:ascii="Times New Roman" w:hAnsi="Times New Roman" w:cs="Times New Roman"/>
          <w:bCs/>
        </w:rPr>
        <w:t xml:space="preserve">”. </w:t>
      </w: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p>
    <w:p w:rsidR="00C064DD" w:rsidRPr="0029310E" w:rsidRDefault="00C064DD" w:rsidP="0037688C">
      <w:pPr>
        <w:pStyle w:val="TitoloB"/>
        <w:keepNext/>
        <w:widowControl w:val="0"/>
        <w:spacing w:after="0" w:line="280" w:lineRule="exact"/>
        <w:ind w:right="0"/>
        <w:jc w:val="both"/>
        <w:outlineLvl w:val="1"/>
        <w:rPr>
          <w:rFonts w:ascii="Times New Roman" w:hAnsi="Times New Roman" w:cs="Times New Roman"/>
          <w:sz w:val="24"/>
          <w:szCs w:val="24"/>
        </w:rPr>
      </w:pPr>
      <w:r w:rsidRPr="0029310E">
        <w:rPr>
          <w:rFonts w:ascii="Times New Roman" w:hAnsi="Times New Roman" w:cs="Times New Roman"/>
          <w:sz w:val="24"/>
          <w:szCs w:val="24"/>
        </w:rPr>
        <w:t>7.12. Indicazione delle iniziative previste nell'ambito delle attività ispettive/organizzazione del sistema di monitoraggio sull'attuazione del PTPC, con individuazione dei referenti, dei tempi e delle modalità di informativa</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Corpotesto"/>
        <w:jc w:val="both"/>
        <w:rPr>
          <w:rFonts w:ascii="Times New Roman" w:hAnsi="Times New Roman" w:cs="Times New Roman"/>
        </w:rPr>
      </w:pPr>
      <w:r w:rsidRPr="0029310E">
        <w:rPr>
          <w:rFonts w:ascii="Times New Roman" w:hAnsi="Times New Roman" w:cs="Times New Roman"/>
        </w:rPr>
        <w:t xml:space="preserve">Il monitoraggio circa l’applicazione del presente PTPC è svolto in autonomia dal Responsabile della prevenzione della corruzione. </w:t>
      </w:r>
    </w:p>
    <w:p w:rsidR="00C064DD" w:rsidRPr="0029310E" w:rsidRDefault="00C064DD" w:rsidP="0037688C">
      <w:pPr>
        <w:pStyle w:val="Corpotesto"/>
        <w:jc w:val="both"/>
        <w:rPr>
          <w:rFonts w:ascii="Times New Roman" w:hAnsi="Times New Roman" w:cs="Times New Roman"/>
        </w:rPr>
      </w:pPr>
    </w:p>
    <w:p w:rsidR="00C064DD" w:rsidRPr="0029310E" w:rsidRDefault="00C064DD" w:rsidP="0037688C">
      <w:pPr>
        <w:pStyle w:val="Default"/>
        <w:rPr>
          <w:b/>
          <w:bCs/>
          <w:color w:val="auto"/>
        </w:rPr>
      </w:pPr>
    </w:p>
    <w:p w:rsidR="00C064DD" w:rsidRPr="0029310E" w:rsidRDefault="00C064DD" w:rsidP="0037688C">
      <w:pPr>
        <w:pStyle w:val="Default"/>
        <w:rPr>
          <w:rFonts w:ascii="Times New Roman" w:hAnsi="Times New Roman" w:cs="Times New Roman"/>
          <w:b/>
          <w:bCs/>
          <w:color w:val="auto"/>
        </w:rPr>
      </w:pPr>
      <w:r w:rsidRPr="0029310E">
        <w:rPr>
          <w:rFonts w:ascii="Times New Roman" w:hAnsi="Times New Roman" w:cs="Times New Roman"/>
          <w:b/>
          <w:bCs/>
          <w:color w:val="auto"/>
        </w:rPr>
        <w:t>8. PROGRAMMAZIONE TRIENNALE 2017/2019</w:t>
      </w:r>
    </w:p>
    <w:p w:rsidR="00C064DD" w:rsidRPr="0029310E" w:rsidRDefault="00C064DD" w:rsidP="0037688C">
      <w:pPr>
        <w:pStyle w:val="Default"/>
        <w:jc w:val="both"/>
        <w:rPr>
          <w:rFonts w:ascii="Times New Roman" w:hAnsi="Times New Roman" w:cs="Times New Roman"/>
          <w:color w:val="auto"/>
        </w:rPr>
      </w:pP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color w:val="auto"/>
        </w:rPr>
        <w:t xml:space="preserve">L’elaborazione del Piano è stata fatta seguendo per analogia i criteri definiti al comma 9 dell’art. 1 della Legge n. 190/2012 per il piano di prevenzione della corruzione di cui al comma 5, lettera a, della medesima legge, e più precisamente: </w:t>
      </w:r>
    </w:p>
    <w:p w:rsidR="00C064DD" w:rsidRPr="0029310E" w:rsidRDefault="00C064DD" w:rsidP="0037688C">
      <w:pPr>
        <w:pStyle w:val="Default"/>
        <w:jc w:val="both"/>
        <w:rPr>
          <w:rFonts w:ascii="Times New Roman" w:hAnsi="Times New Roman" w:cs="Times New Roman"/>
          <w:b/>
          <w:bCs/>
          <w:color w:val="auto"/>
        </w:rPr>
      </w:pPr>
    </w:p>
    <w:p w:rsidR="00C064DD" w:rsidRPr="0029310E" w:rsidRDefault="00C064DD" w:rsidP="0037688C">
      <w:pPr>
        <w:pStyle w:val="Default"/>
        <w:jc w:val="both"/>
        <w:rPr>
          <w:rFonts w:ascii="Times New Roman" w:hAnsi="Times New Roman" w:cs="Times New Roman"/>
          <w:b/>
          <w:bCs/>
          <w:color w:val="auto"/>
        </w:rPr>
      </w:pPr>
      <w:r w:rsidRPr="0029310E">
        <w:rPr>
          <w:rFonts w:ascii="Times New Roman" w:hAnsi="Times New Roman" w:cs="Times New Roman"/>
          <w:b/>
          <w:bCs/>
          <w:color w:val="auto"/>
        </w:rPr>
        <w:t>Anno 2017</w:t>
      </w:r>
    </w:p>
    <w:p w:rsidR="00C064DD" w:rsidRPr="0029310E" w:rsidRDefault="00C064DD" w:rsidP="0037688C">
      <w:pPr>
        <w:pStyle w:val="Default"/>
        <w:jc w:val="both"/>
        <w:rPr>
          <w:rFonts w:ascii="Times New Roman" w:hAnsi="Times New Roman" w:cs="Times New Roman"/>
          <w:color w:val="auto"/>
        </w:rPr>
      </w:pP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color w:val="auto"/>
        </w:rPr>
        <w:t>Si ribadisce il mantenimento del livello di prevenzione della corruzione riportato nei PTPC precedenti con particolare riferimento a:</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a)</w:t>
      </w:r>
      <w:r w:rsidRPr="0029310E">
        <w:rPr>
          <w:rFonts w:ascii="Times New Roman" w:hAnsi="Times New Roman" w:cs="Times New Roman"/>
          <w:bCs/>
          <w:color w:val="auto"/>
        </w:rPr>
        <w:t xml:space="preserve"> verificare</w:t>
      </w:r>
      <w:r w:rsidRPr="0029310E">
        <w:rPr>
          <w:rFonts w:ascii="Times New Roman" w:hAnsi="Times New Roman" w:cs="Times New Roman"/>
          <w:b/>
          <w:bCs/>
          <w:color w:val="auto"/>
        </w:rPr>
        <w:t xml:space="preserve"> </w:t>
      </w:r>
      <w:r w:rsidRPr="0029310E">
        <w:rPr>
          <w:rFonts w:ascii="Times New Roman" w:hAnsi="Times New Roman" w:cs="Times New Roman"/>
          <w:color w:val="auto"/>
        </w:rPr>
        <w:t xml:space="preserve">le attività a rischio corruzione. I responsabili di struttura dovranno, entro la fine del 2017: </w:t>
      </w:r>
    </w:p>
    <w:p w:rsidR="00C064DD" w:rsidRPr="0029310E" w:rsidRDefault="00C064DD" w:rsidP="0037688C">
      <w:pPr>
        <w:pStyle w:val="Default"/>
        <w:ind w:left="284"/>
        <w:jc w:val="both"/>
        <w:rPr>
          <w:rFonts w:ascii="Times New Roman" w:hAnsi="Times New Roman" w:cs="Times New Roman"/>
          <w:color w:val="auto"/>
        </w:rPr>
      </w:pPr>
      <w:r w:rsidRPr="0029310E">
        <w:rPr>
          <w:rFonts w:ascii="Times New Roman" w:hAnsi="Times New Roman" w:cs="Times New Roman"/>
          <w:color w:val="auto"/>
        </w:rPr>
        <w:t xml:space="preserve">1. fornire al Responsabile della prevenzione della corruzione le informazioni necessarie e le proposte adeguate per l’adozione di misure idonee a prevenire e contrastare i fenomeni di corruzione e a controllarne il rispetto; </w:t>
      </w:r>
    </w:p>
    <w:p w:rsidR="00C064DD" w:rsidRPr="0029310E" w:rsidRDefault="00C064DD" w:rsidP="0037688C">
      <w:pPr>
        <w:pStyle w:val="Default"/>
        <w:ind w:left="284"/>
        <w:jc w:val="both"/>
        <w:rPr>
          <w:rFonts w:ascii="Times New Roman" w:hAnsi="Times New Roman" w:cs="Times New Roman"/>
          <w:color w:val="auto"/>
        </w:rPr>
      </w:pPr>
      <w:r w:rsidRPr="0029310E">
        <w:rPr>
          <w:rFonts w:ascii="Times New Roman" w:hAnsi="Times New Roman" w:cs="Times New Roman"/>
          <w:color w:val="auto"/>
        </w:rPr>
        <w:t xml:space="preserve">2. qualora emergesse un effettivo e concreto rischio corruzione, avanzare proposte per la rotazione del personale soggetto a procedimenti penali e/o disciplinari per condotta di natura corruttiva; </w:t>
      </w:r>
    </w:p>
    <w:p w:rsidR="00C064DD" w:rsidRPr="0029310E" w:rsidRDefault="00C064DD" w:rsidP="0037688C">
      <w:pPr>
        <w:pStyle w:val="Default"/>
        <w:ind w:left="284"/>
        <w:jc w:val="both"/>
        <w:rPr>
          <w:rFonts w:ascii="Times New Roman" w:hAnsi="Times New Roman" w:cs="Times New Roman"/>
          <w:color w:val="auto"/>
        </w:rPr>
      </w:pPr>
      <w:r w:rsidRPr="0029310E">
        <w:rPr>
          <w:rFonts w:ascii="Times New Roman" w:hAnsi="Times New Roman" w:cs="Times New Roman"/>
          <w:color w:val="auto"/>
        </w:rPr>
        <w:t xml:space="preserve">3. segnalare al Responsabile della corruzione (art. 1, comma 9, lettera c), Legge 190/2012) ogni evento o dati utili per l’espletamento delle proprie funzioni.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b) </w:t>
      </w:r>
      <w:r w:rsidRPr="0029310E">
        <w:rPr>
          <w:rFonts w:ascii="Times New Roman" w:hAnsi="Times New Roman" w:cs="Times New Roman"/>
          <w:color w:val="auto"/>
        </w:rPr>
        <w:t xml:space="preserve">monitoraggio per le attività di loro competenza, del rispetto dei tempi procedimentali con particolare riferimento ai pagamenti a partire da €.1.000,00. Si prevede, compatibilmente con le risorse organizzative, di pubblicare i risultati sul sito </w:t>
      </w:r>
      <w:r w:rsidRPr="0029310E">
        <w:rPr>
          <w:rFonts w:ascii="Times New Roman" w:hAnsi="Times New Roman" w:cs="Times New Roman"/>
          <w:i/>
          <w:iCs/>
          <w:color w:val="auto"/>
        </w:rPr>
        <w:t xml:space="preserve">web </w:t>
      </w:r>
      <w:r w:rsidRPr="0029310E">
        <w:rPr>
          <w:rFonts w:ascii="Times New Roman" w:hAnsi="Times New Roman" w:cs="Times New Roman"/>
          <w:color w:val="auto"/>
        </w:rPr>
        <w:t xml:space="preserve">istituzionale (art. 1, comma 28, Legge 190/2012);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c) </w:t>
      </w:r>
      <w:r w:rsidRPr="0029310E">
        <w:rPr>
          <w:rFonts w:ascii="Times New Roman" w:hAnsi="Times New Roman" w:cs="Times New Roman"/>
          <w:color w:val="auto"/>
        </w:rPr>
        <w:t xml:space="preserve">procedere all’attuazione ed all’integrazione degli specifici obblighi di pubblicità, trasparenza e diffusione di informazioni previsti Decreto Legislativo 14 marzo 2013, n. 33 (art. 1, comma 35, Legge 190/2012); </w:t>
      </w:r>
    </w:p>
    <w:p w:rsidR="00C064DD" w:rsidRPr="0029310E" w:rsidRDefault="00C064DD" w:rsidP="0037688C">
      <w:pPr>
        <w:pStyle w:val="Nessunaspaziatura"/>
        <w:jc w:val="both"/>
        <w:rPr>
          <w:rFonts w:ascii="Times New Roman" w:hAnsi="Times New Roman"/>
          <w:sz w:val="24"/>
          <w:szCs w:val="24"/>
          <w:lang w:eastAsia="it-IT" w:bidi="he-IL"/>
        </w:rPr>
      </w:pPr>
      <w:r w:rsidRPr="0029310E">
        <w:rPr>
          <w:rFonts w:ascii="Times New Roman" w:hAnsi="Times New Roman"/>
          <w:b/>
          <w:sz w:val="24"/>
          <w:szCs w:val="24"/>
          <w:lang w:eastAsia="it-IT" w:bidi="he-IL"/>
        </w:rPr>
        <w:t xml:space="preserve">d) </w:t>
      </w:r>
      <w:r w:rsidRPr="0029310E">
        <w:rPr>
          <w:rFonts w:ascii="Times New Roman" w:hAnsi="Times New Roman"/>
          <w:sz w:val="24"/>
          <w:szCs w:val="24"/>
          <w:lang w:eastAsia="it-IT" w:bidi="he-IL"/>
        </w:rPr>
        <w:t>approvazione del REGOLAMENTO IN MATERIA DI ACCESSO CIVICO E ACCESSO GENERALIZZATO</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e) </w:t>
      </w:r>
      <w:r w:rsidRPr="0029310E">
        <w:rPr>
          <w:rFonts w:ascii="Times New Roman" w:hAnsi="Times New Roman" w:cs="Times New Roman"/>
          <w:color w:val="auto"/>
        </w:rPr>
        <w:t xml:space="preserve">applicazione delle modifiche introdotte dalla Legge 6 novembre 2012, n. 190 all'art. 53 del Decreto Legislativo 165/2001 in materia di prestazioni e incarichi;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f)</w:t>
      </w:r>
      <w:r w:rsidRPr="0029310E">
        <w:rPr>
          <w:rFonts w:ascii="Times New Roman" w:hAnsi="Times New Roman" w:cs="Times New Roman"/>
          <w:color w:val="auto"/>
        </w:rPr>
        <w:t xml:space="preserve"> autocertificazione delle cause di inconferiblità/incompatibilità di conferimento di incarico di P.O. nonche delle dichiarazioni dei redditi;</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g) </w:t>
      </w:r>
      <w:r w:rsidRPr="0029310E">
        <w:rPr>
          <w:rFonts w:ascii="Times New Roman" w:hAnsi="Times New Roman" w:cs="Times New Roman"/>
          <w:color w:val="auto"/>
        </w:rPr>
        <w:t xml:space="preserve">formazione dei dipendenti;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color w:val="auto"/>
        </w:rPr>
        <w:t>h)</w:t>
      </w:r>
      <w:r w:rsidRPr="0029310E">
        <w:rPr>
          <w:rFonts w:ascii="Times New Roman" w:hAnsi="Times New Roman" w:cs="Times New Roman"/>
          <w:color w:val="auto"/>
        </w:rPr>
        <w:t xml:space="preserve"> Informatizzazione dei procedimenti e processi. Fatto salvo eventuali rinvii o proroghe, si prevede l’applicazione del DPR 13.11.2014 in merito alla formazione, trasmissione, copia, duplicazione, validazione, riproduzione e conservazione dei documenti informatici. Occorre pertanto  proseguire nell’opera di informatizzazione dell’attività procedimentale degli uffici. Occorre proseguire nello sviluppo della automazione dei processi di tutte le aree. Nel corso dell’anno si prevedono, compatibilmente con le risorse messe a disposizione, degli interventi di informatizzazione dei processi finalizzati a quanto sopra riportato.</w:t>
      </w:r>
    </w:p>
    <w:p w:rsidR="00C064DD" w:rsidRPr="0029310E" w:rsidRDefault="00C064DD" w:rsidP="0037688C">
      <w:pPr>
        <w:pStyle w:val="Default"/>
        <w:jc w:val="both"/>
        <w:rPr>
          <w:rFonts w:ascii="Times New Roman" w:hAnsi="Times New Roman" w:cs="Times New Roman"/>
          <w:b/>
          <w:bCs/>
          <w:color w:val="auto"/>
        </w:rPr>
      </w:pPr>
    </w:p>
    <w:p w:rsidR="00C064DD" w:rsidRPr="0029310E" w:rsidRDefault="00C064DD" w:rsidP="0037688C">
      <w:pPr>
        <w:pStyle w:val="Default"/>
        <w:jc w:val="both"/>
        <w:rPr>
          <w:rFonts w:ascii="Times New Roman" w:hAnsi="Times New Roman" w:cs="Times New Roman"/>
          <w:b/>
          <w:bCs/>
          <w:color w:val="auto"/>
        </w:rPr>
      </w:pPr>
      <w:r w:rsidRPr="0029310E">
        <w:rPr>
          <w:rFonts w:ascii="Times New Roman" w:hAnsi="Times New Roman" w:cs="Times New Roman"/>
          <w:b/>
          <w:bCs/>
          <w:color w:val="auto"/>
        </w:rPr>
        <w:t>Anno 2018</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a)</w:t>
      </w:r>
      <w:r w:rsidRPr="0029310E">
        <w:rPr>
          <w:rFonts w:ascii="Times New Roman" w:hAnsi="Times New Roman" w:cs="Times New Roman"/>
          <w:bCs/>
          <w:color w:val="auto"/>
        </w:rPr>
        <w:t xml:space="preserve"> verificare</w:t>
      </w:r>
      <w:r w:rsidRPr="0029310E">
        <w:rPr>
          <w:rFonts w:ascii="Times New Roman" w:hAnsi="Times New Roman" w:cs="Times New Roman"/>
          <w:b/>
          <w:bCs/>
          <w:color w:val="auto"/>
        </w:rPr>
        <w:t xml:space="preserve"> </w:t>
      </w:r>
      <w:r w:rsidRPr="0029310E">
        <w:rPr>
          <w:rFonts w:ascii="Times New Roman" w:hAnsi="Times New Roman" w:cs="Times New Roman"/>
          <w:color w:val="auto"/>
        </w:rPr>
        <w:t xml:space="preserve">le attività a rischio corruzione. I responsabili di struttura dovranno, entro la fine del 2018: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color w:val="auto"/>
        </w:rPr>
        <w:t xml:space="preserve">1. fornire al Responsabile della prevenzione della corruzione le informazioni necessarie e le proposte adeguate per l’adozione di misure idonee a prevenire e contrastare i fenomeni di corruzione e a controllarne il rispetto;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color w:val="auto"/>
        </w:rPr>
        <w:lastRenderedPageBreak/>
        <w:t xml:space="preserve">2. qualora emergesse un effettivo e concreto rischio corruzione, avanzare proposte per la rotazione del personale soggetto a procedimenti penali e/o disciplinari per condotta di natura corruttiva;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color w:val="auto"/>
        </w:rPr>
        <w:t xml:space="preserve">3. segnalare al Responsabile della corruzione (art. 1, comma 9, lettera c), Legge 190/2012) ogni evento o dati utili per l’espletamento delle proprie funzioni.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b)</w:t>
      </w:r>
      <w:r w:rsidRPr="0029310E">
        <w:rPr>
          <w:rFonts w:ascii="Times New Roman" w:hAnsi="Times New Roman" w:cs="Times New Roman"/>
          <w:color w:val="auto"/>
        </w:rPr>
        <w:t xml:space="preserve"> Relazione di</w:t>
      </w:r>
      <w:r w:rsidRPr="0029310E">
        <w:rPr>
          <w:rFonts w:ascii="Times New Roman" w:hAnsi="Times New Roman" w:cs="Times New Roman"/>
          <w:b/>
          <w:bCs/>
          <w:color w:val="auto"/>
        </w:rPr>
        <w:t xml:space="preserve"> </w:t>
      </w:r>
      <w:r w:rsidRPr="0029310E">
        <w:rPr>
          <w:rFonts w:ascii="Times New Roman" w:hAnsi="Times New Roman" w:cs="Times New Roman"/>
          <w:color w:val="auto"/>
        </w:rPr>
        <w:t xml:space="preserve">verifica dell’efficacia delle azioni messe in atto nel 2017 (comma 10, lettera a, Legge 190/2012), da parte del Responsabile della prevenzione della corruzione, d’intesa con i Responsabili di Struttura;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c) </w:t>
      </w:r>
      <w:r w:rsidRPr="0029310E">
        <w:rPr>
          <w:rFonts w:ascii="Times New Roman" w:hAnsi="Times New Roman" w:cs="Times New Roman"/>
          <w:color w:val="auto"/>
        </w:rPr>
        <w:t xml:space="preserve">definizione di obiettivi da assegnare ai Responsabili inerenti direttamente il tema della trasparenza e dell’anticorruzione; </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bCs/>
          <w:color w:val="auto"/>
        </w:rPr>
        <w:t xml:space="preserve">d) </w:t>
      </w:r>
      <w:r w:rsidRPr="0029310E">
        <w:rPr>
          <w:rFonts w:ascii="Times New Roman" w:hAnsi="Times New Roman" w:cs="Times New Roman"/>
          <w:color w:val="auto"/>
        </w:rPr>
        <w:t xml:space="preserve">applicazione dell’art. 35-bis del decreto legislativo 30 marzo 2001, n. 165, introdotto dal comma 46 della legge 190/2012 – </w:t>
      </w:r>
      <w:r w:rsidRPr="0029310E">
        <w:rPr>
          <w:rFonts w:ascii="Times New Roman" w:hAnsi="Times New Roman" w:cs="Times New Roman"/>
          <w:i/>
          <w:iCs/>
          <w:color w:val="auto"/>
        </w:rPr>
        <w:t>Prevenzione del fenomeno della corruzione nella formazione di commissioni e nelle assegnazione agli uffici</w:t>
      </w:r>
      <w:r w:rsidRPr="0029310E">
        <w:rPr>
          <w:rFonts w:ascii="Times New Roman" w:hAnsi="Times New Roman" w:cs="Times New Roman"/>
          <w:color w:val="auto"/>
        </w:rPr>
        <w:t xml:space="preserve"> - per coloro che sono stati condannati, anche con sentenza passata in giudicato, per reati previsti nel Capo I Titolo II del libro II° del c.p.</w:t>
      </w:r>
    </w:p>
    <w:p w:rsidR="00C064DD" w:rsidRPr="0029310E" w:rsidRDefault="00C064DD" w:rsidP="0037688C">
      <w:pPr>
        <w:pStyle w:val="Default"/>
        <w:jc w:val="both"/>
        <w:rPr>
          <w:rFonts w:ascii="Times New Roman" w:hAnsi="Times New Roman" w:cs="Times New Roman"/>
          <w:color w:val="auto"/>
        </w:rPr>
      </w:pPr>
      <w:r w:rsidRPr="0029310E">
        <w:rPr>
          <w:rFonts w:ascii="Times New Roman" w:hAnsi="Times New Roman" w:cs="Times New Roman"/>
          <w:b/>
          <w:color w:val="auto"/>
        </w:rPr>
        <w:t>e)</w:t>
      </w:r>
      <w:r w:rsidRPr="0029310E">
        <w:rPr>
          <w:rFonts w:ascii="Times New Roman" w:hAnsi="Times New Roman" w:cs="Times New Roman"/>
          <w:color w:val="auto"/>
        </w:rPr>
        <w:t xml:space="preserve"> Informatizzazione dei procedimenti e processi. Fatto salvo eventuali rinvii o proroghe, si prevede l’applicazione del DPR 13.11.2014 in merito alla formazione, trasmissione, copia, duplicazione, validazione, riproduzione e conservazione dei documenti informatici. Occorre pertanto  proseguire nell’opera di informatizzazione dell’attività procedimentale degli uffici. Occorre proseguire nello sviluppo della automazione dei processi di tutte le aree. Nel corso dell’anno si prevedono, compatibilmente con le risorse messe a disposizione, degli interventi di informatizzazione dei processi finalizzati a quanto sopra riportato.</w:t>
      </w:r>
    </w:p>
    <w:p w:rsidR="00C064DD" w:rsidRPr="0029310E" w:rsidRDefault="00C064DD" w:rsidP="0037688C">
      <w:pPr>
        <w:pStyle w:val="Default"/>
        <w:jc w:val="both"/>
        <w:rPr>
          <w:rFonts w:ascii="Times New Roman" w:hAnsi="Times New Roman" w:cs="Times New Roman"/>
          <w:b/>
          <w:bCs/>
          <w:color w:val="auto"/>
        </w:rPr>
      </w:pPr>
    </w:p>
    <w:p w:rsidR="00C064DD" w:rsidRPr="0029310E" w:rsidRDefault="00C064DD" w:rsidP="0037688C">
      <w:pPr>
        <w:pStyle w:val="Default"/>
        <w:jc w:val="both"/>
        <w:rPr>
          <w:rFonts w:ascii="Times New Roman" w:hAnsi="Times New Roman" w:cs="Times New Roman"/>
          <w:b/>
          <w:bCs/>
          <w:color w:val="auto"/>
        </w:rPr>
      </w:pPr>
      <w:r w:rsidRPr="0029310E">
        <w:rPr>
          <w:rFonts w:ascii="Times New Roman" w:hAnsi="Times New Roman" w:cs="Times New Roman"/>
          <w:b/>
          <w:bCs/>
          <w:color w:val="auto"/>
        </w:rPr>
        <w:t>Anno 2019</w:t>
      </w:r>
    </w:p>
    <w:p w:rsidR="00C064DD" w:rsidRPr="0029310E" w:rsidRDefault="00C064DD" w:rsidP="0037688C">
      <w:pPr>
        <w:pStyle w:val="Default"/>
        <w:jc w:val="both"/>
        <w:rPr>
          <w:rFonts w:ascii="Times New Roman" w:hAnsi="Times New Roman" w:cs="Times New Roman"/>
          <w:color w:val="auto"/>
        </w:rPr>
      </w:pPr>
    </w:p>
    <w:p w:rsidR="00C064DD" w:rsidRPr="0029310E" w:rsidRDefault="00C064DD" w:rsidP="004A1CD7">
      <w:pPr>
        <w:pStyle w:val="Default"/>
        <w:numPr>
          <w:ilvl w:val="0"/>
          <w:numId w:val="7"/>
        </w:numPr>
        <w:ind w:left="426" w:hanging="426"/>
        <w:jc w:val="both"/>
        <w:rPr>
          <w:rFonts w:ascii="Times New Roman" w:hAnsi="Times New Roman" w:cs="Times New Roman"/>
          <w:color w:val="auto"/>
        </w:rPr>
      </w:pPr>
      <w:r w:rsidRPr="0029310E">
        <w:rPr>
          <w:rFonts w:ascii="Times New Roman" w:hAnsi="Times New Roman" w:cs="Times New Roman"/>
          <w:color w:val="auto"/>
        </w:rPr>
        <w:t>Relazione di</w:t>
      </w:r>
      <w:r w:rsidRPr="0029310E">
        <w:rPr>
          <w:rFonts w:ascii="Times New Roman" w:hAnsi="Times New Roman" w:cs="Times New Roman"/>
          <w:b/>
          <w:bCs/>
          <w:color w:val="auto"/>
        </w:rPr>
        <w:t xml:space="preserve"> </w:t>
      </w:r>
      <w:r w:rsidRPr="0029310E">
        <w:rPr>
          <w:rFonts w:ascii="Times New Roman" w:hAnsi="Times New Roman" w:cs="Times New Roman"/>
          <w:color w:val="auto"/>
        </w:rPr>
        <w:t>verifica dell’efficacia delle azioni messe in atto nel 2018 (comma 10, lettera a, Legge 190/2012), da parte del Responsabile della prevenzione della corruzione, d’intesa con i Responsabili di Struttura e analisi degli esiti dell’applicazione delle procedure attivate nel 2017;</w:t>
      </w:r>
    </w:p>
    <w:p w:rsidR="00C064DD" w:rsidRPr="0029310E" w:rsidRDefault="00C064DD" w:rsidP="004A1CD7">
      <w:pPr>
        <w:pStyle w:val="Default"/>
        <w:numPr>
          <w:ilvl w:val="0"/>
          <w:numId w:val="7"/>
        </w:numPr>
        <w:ind w:left="426" w:hanging="426"/>
        <w:jc w:val="both"/>
        <w:rPr>
          <w:rFonts w:ascii="Times New Roman" w:hAnsi="Times New Roman" w:cs="Times New Roman"/>
          <w:color w:val="auto"/>
        </w:rPr>
      </w:pPr>
      <w:r w:rsidRPr="0029310E">
        <w:rPr>
          <w:rFonts w:ascii="Times New Roman" w:hAnsi="Times New Roman" w:cs="Times New Roman"/>
          <w:color w:val="auto"/>
        </w:rPr>
        <w:t xml:space="preserve">Qualora emergesse un effettivo e concreto rischio corruzione, avanzare proposte per la rotazione del personale soggetto a procedimenti penali e/o disciplinari per condotta di natura corruttiva; </w:t>
      </w:r>
    </w:p>
    <w:p w:rsidR="00C064DD" w:rsidRPr="0029310E" w:rsidRDefault="00C064DD" w:rsidP="004A1CD7">
      <w:pPr>
        <w:pStyle w:val="Default"/>
        <w:numPr>
          <w:ilvl w:val="0"/>
          <w:numId w:val="7"/>
        </w:numPr>
        <w:ind w:left="426" w:hanging="426"/>
        <w:jc w:val="both"/>
        <w:rPr>
          <w:rFonts w:ascii="Times New Roman" w:hAnsi="Times New Roman" w:cs="Times New Roman"/>
          <w:color w:val="auto"/>
        </w:rPr>
      </w:pPr>
      <w:r w:rsidRPr="0029310E">
        <w:rPr>
          <w:rFonts w:ascii="Times New Roman" w:hAnsi="Times New Roman" w:cs="Times New Roman"/>
          <w:color w:val="auto"/>
        </w:rPr>
        <w:t xml:space="preserve">Segnalare al Responsabile della corruzione (art. 1, comma 9, lettera c), Legge 190/2012) ogni evento o dati utili per l’espletamento delle proprie funzioni. </w:t>
      </w:r>
    </w:p>
    <w:p w:rsidR="00C064DD" w:rsidRPr="0029310E" w:rsidRDefault="00C064DD" w:rsidP="004A1CD7">
      <w:pPr>
        <w:pStyle w:val="Default"/>
        <w:numPr>
          <w:ilvl w:val="0"/>
          <w:numId w:val="7"/>
        </w:numPr>
        <w:ind w:left="426" w:hanging="426"/>
        <w:jc w:val="both"/>
        <w:rPr>
          <w:rFonts w:ascii="Times New Roman" w:hAnsi="Times New Roman" w:cs="Times New Roman"/>
          <w:color w:val="auto"/>
        </w:rPr>
      </w:pPr>
      <w:r w:rsidRPr="0029310E">
        <w:rPr>
          <w:rFonts w:ascii="Times New Roman" w:hAnsi="Times New Roman" w:cs="Times New Roman"/>
          <w:color w:val="auto"/>
        </w:rPr>
        <w:t xml:space="preserve">Definizione di procedure di verifica specifica per le criticità riscontrate; </w:t>
      </w:r>
    </w:p>
    <w:p w:rsidR="00C064DD" w:rsidRPr="0029310E" w:rsidRDefault="00C064DD" w:rsidP="004A1CD7">
      <w:pPr>
        <w:pStyle w:val="Default"/>
        <w:numPr>
          <w:ilvl w:val="0"/>
          <w:numId w:val="7"/>
        </w:numPr>
        <w:ind w:left="426" w:hanging="426"/>
        <w:jc w:val="both"/>
        <w:rPr>
          <w:rFonts w:ascii="Times New Roman" w:hAnsi="Times New Roman" w:cs="Times New Roman"/>
          <w:color w:val="auto"/>
        </w:rPr>
      </w:pPr>
      <w:r w:rsidRPr="0029310E">
        <w:rPr>
          <w:rFonts w:ascii="Times New Roman" w:hAnsi="Times New Roman" w:cs="Times New Roman"/>
          <w:color w:val="auto"/>
        </w:rPr>
        <w:t>Informatizzazione dei procedimenti e processi. A seguito dell’applicazione del DPR 13.11.2014, fatto salvo eventuali rinvii o proroghe, in merito alla formazione, trasmissione, copia, duplicazione, validazione, riproduzione e conservazione dei documenti informatici si dovrà gestire questa nuova modalità organizzativa e proseguire nell’opera di informatizzazione dell’attività procedimentale degli uffici. Nel corso dell’anno si prevedono, compatibilmente con le risorse messe a disposizione, degli interventi di informatizzazione dei processi finalizzati a quanto sopra riportato.</w:t>
      </w:r>
    </w:p>
    <w:p w:rsidR="00C064DD" w:rsidRPr="0029310E" w:rsidRDefault="00C064DD" w:rsidP="004A1CD7">
      <w:pPr>
        <w:pStyle w:val="Default"/>
        <w:numPr>
          <w:ilvl w:val="0"/>
          <w:numId w:val="7"/>
        </w:numPr>
        <w:ind w:left="426" w:hanging="426"/>
        <w:jc w:val="both"/>
        <w:rPr>
          <w:rFonts w:ascii="Times New Roman" w:hAnsi="Times New Roman" w:cs="Times New Roman"/>
          <w:color w:val="auto"/>
        </w:rPr>
      </w:pPr>
      <w:r w:rsidRPr="0029310E">
        <w:rPr>
          <w:rFonts w:ascii="Times New Roman" w:hAnsi="Times New Roman" w:cs="Times New Roman"/>
          <w:color w:val="auto"/>
        </w:rPr>
        <w:t xml:space="preserve">Eventuale revisione delle procedure poste in essere negli anni precedenti; </w:t>
      </w:r>
    </w:p>
    <w:p w:rsidR="00C064DD" w:rsidRPr="0029310E" w:rsidRDefault="00C064DD" w:rsidP="0037688C">
      <w:pPr>
        <w:pStyle w:val="Default"/>
        <w:jc w:val="both"/>
        <w:rPr>
          <w:color w:val="auto"/>
          <w:sz w:val="23"/>
          <w:szCs w:val="23"/>
        </w:rPr>
      </w:pPr>
    </w:p>
    <w:p w:rsidR="00C064DD" w:rsidRPr="0029310E" w:rsidRDefault="00C064DD" w:rsidP="0037688C">
      <w:pPr>
        <w:pStyle w:val="Default"/>
        <w:jc w:val="both"/>
        <w:rPr>
          <w:color w:val="auto"/>
          <w:sz w:val="23"/>
          <w:szCs w:val="23"/>
        </w:rPr>
      </w:pPr>
    </w:p>
    <w:p w:rsidR="00C064DD" w:rsidRPr="0029310E" w:rsidRDefault="00C064DD" w:rsidP="0037688C">
      <w:pPr>
        <w:pStyle w:val="Default"/>
        <w:jc w:val="both"/>
        <w:rPr>
          <w:color w:val="auto"/>
          <w:sz w:val="23"/>
          <w:szCs w:val="23"/>
        </w:rPr>
      </w:pPr>
    </w:p>
    <w:p w:rsidR="00C064DD" w:rsidRPr="0029310E" w:rsidRDefault="00C064DD" w:rsidP="0037688C">
      <w:pPr>
        <w:pStyle w:val="Default"/>
        <w:jc w:val="both"/>
        <w:rPr>
          <w:color w:val="auto"/>
          <w:sz w:val="23"/>
          <w:szCs w:val="23"/>
        </w:rPr>
      </w:pPr>
    </w:p>
    <w:p w:rsidR="00C064DD" w:rsidRPr="0029310E" w:rsidRDefault="00C064DD" w:rsidP="0037688C">
      <w:pPr>
        <w:pStyle w:val="Default"/>
        <w:jc w:val="both"/>
        <w:rPr>
          <w:color w:val="auto"/>
          <w:sz w:val="23"/>
          <w:szCs w:val="23"/>
        </w:rPr>
      </w:pPr>
    </w:p>
    <w:p w:rsidR="00C064DD" w:rsidRPr="0029310E" w:rsidRDefault="00C064DD" w:rsidP="0037688C">
      <w:pPr>
        <w:pStyle w:val="Default"/>
        <w:jc w:val="both"/>
        <w:rPr>
          <w:color w:val="auto"/>
          <w:sz w:val="23"/>
          <w:szCs w:val="23"/>
        </w:rPr>
      </w:pPr>
    </w:p>
    <w:p w:rsidR="00C064DD" w:rsidRPr="0029310E" w:rsidRDefault="00C064DD" w:rsidP="0037688C">
      <w:pPr>
        <w:pStyle w:val="Default"/>
        <w:jc w:val="both"/>
        <w:rPr>
          <w:color w:val="auto"/>
          <w:sz w:val="23"/>
          <w:szCs w:val="23"/>
        </w:rPr>
        <w:sectPr w:rsidR="00C064DD" w:rsidRPr="0029310E" w:rsidSect="00304FA9">
          <w:pgSz w:w="11906" w:h="16838"/>
          <w:pgMar w:top="1417" w:right="1134" w:bottom="1134" w:left="1134" w:header="708" w:footer="708" w:gutter="0"/>
          <w:cols w:space="708"/>
          <w:docGrid w:linePitch="360"/>
        </w:sectPr>
      </w:pPr>
    </w:p>
    <w:p w:rsidR="00C064DD" w:rsidRPr="0029310E" w:rsidRDefault="00C064DD" w:rsidP="002E726F">
      <w:pPr>
        <w:pStyle w:val="Nessunaspaziatura1"/>
        <w:jc w:val="center"/>
        <w:rPr>
          <w:rFonts w:ascii="Times New Roman" w:hAnsi="Times New Roman"/>
          <w:b/>
          <w:sz w:val="28"/>
          <w:szCs w:val="28"/>
          <w:u w:val="single"/>
        </w:rPr>
      </w:pPr>
      <w:r w:rsidRPr="0029310E">
        <w:rPr>
          <w:rFonts w:ascii="Times New Roman" w:hAnsi="Times New Roman"/>
          <w:b/>
          <w:sz w:val="28"/>
          <w:szCs w:val="28"/>
          <w:u w:val="single"/>
        </w:rPr>
        <w:lastRenderedPageBreak/>
        <w:t>TITOLO II</w:t>
      </w:r>
    </w:p>
    <w:p w:rsidR="00C064DD" w:rsidRPr="0029310E" w:rsidRDefault="00C064DD" w:rsidP="002E726F">
      <w:pPr>
        <w:pStyle w:val="Nessunaspaziatura1"/>
        <w:jc w:val="center"/>
        <w:rPr>
          <w:rFonts w:ascii="Times New Roman" w:hAnsi="Times New Roman"/>
          <w:b/>
          <w:sz w:val="28"/>
          <w:szCs w:val="28"/>
          <w:u w:val="single"/>
        </w:rPr>
      </w:pPr>
    </w:p>
    <w:p w:rsidR="00C064DD" w:rsidRPr="0029310E" w:rsidRDefault="00C064DD" w:rsidP="002E726F">
      <w:pPr>
        <w:pStyle w:val="Nessunaspaziatura1"/>
        <w:jc w:val="center"/>
        <w:rPr>
          <w:rFonts w:ascii="Times New Roman" w:hAnsi="Times New Roman"/>
          <w:b/>
          <w:sz w:val="24"/>
          <w:szCs w:val="24"/>
          <w:u w:val="single"/>
        </w:rPr>
      </w:pPr>
      <w:r w:rsidRPr="0029310E">
        <w:rPr>
          <w:rFonts w:ascii="Times New Roman" w:hAnsi="Times New Roman"/>
          <w:b/>
          <w:sz w:val="24"/>
          <w:szCs w:val="24"/>
          <w:u w:val="single"/>
        </w:rPr>
        <w:t xml:space="preserve">IL PIANO TRIENNALE </w:t>
      </w:r>
    </w:p>
    <w:p w:rsidR="00C064DD" w:rsidRPr="0029310E" w:rsidRDefault="00C064DD" w:rsidP="002E726F">
      <w:pPr>
        <w:pStyle w:val="Nessunaspaziatura1"/>
        <w:jc w:val="center"/>
        <w:rPr>
          <w:rFonts w:ascii="Times New Roman" w:hAnsi="Times New Roman"/>
          <w:b/>
          <w:sz w:val="24"/>
          <w:szCs w:val="24"/>
          <w:u w:val="single"/>
        </w:rPr>
      </w:pPr>
      <w:r w:rsidRPr="0029310E">
        <w:rPr>
          <w:rFonts w:ascii="Times New Roman" w:hAnsi="Times New Roman"/>
          <w:b/>
          <w:sz w:val="24"/>
          <w:szCs w:val="24"/>
          <w:u w:val="single"/>
        </w:rPr>
        <w:t>PER LA TRASPARENZA E L’INTEGRITA’ 2017-2019</w:t>
      </w:r>
    </w:p>
    <w:p w:rsidR="00C064DD" w:rsidRPr="0029310E" w:rsidRDefault="00C064DD" w:rsidP="002E726F">
      <w:pPr>
        <w:pStyle w:val="Default"/>
        <w:jc w:val="both"/>
        <w:rPr>
          <w:rFonts w:ascii="Times New Roman" w:hAnsi="Times New Roman" w:cs="Times New Roman"/>
          <w:color w:val="auto"/>
        </w:rPr>
      </w:pPr>
    </w:p>
    <w:p w:rsidR="00C064DD" w:rsidRPr="0029310E" w:rsidRDefault="00C064DD" w:rsidP="002E726F">
      <w:pPr>
        <w:pStyle w:val="Nessunaspaziatura"/>
        <w:jc w:val="both"/>
        <w:rPr>
          <w:rFonts w:ascii="Times New Roman" w:hAnsi="Times New Roman"/>
          <w:b/>
          <w:sz w:val="24"/>
          <w:szCs w:val="24"/>
        </w:rPr>
      </w:pPr>
      <w:bookmarkStart w:id="6" w:name="_Toc437942538"/>
    </w:p>
    <w:p w:rsidR="00C064DD" w:rsidRPr="0029310E" w:rsidRDefault="00C064DD" w:rsidP="002E726F">
      <w:pPr>
        <w:pStyle w:val="Nessunaspaziatura"/>
        <w:jc w:val="both"/>
        <w:rPr>
          <w:rFonts w:ascii="Times New Roman" w:hAnsi="Times New Roman"/>
          <w:b/>
          <w:sz w:val="24"/>
          <w:szCs w:val="24"/>
        </w:rPr>
      </w:pPr>
      <w:r w:rsidRPr="0029310E">
        <w:rPr>
          <w:rFonts w:ascii="Times New Roman" w:hAnsi="Times New Roman"/>
          <w:b/>
          <w:sz w:val="24"/>
          <w:szCs w:val="24"/>
        </w:rPr>
        <w:t>1. LA TRASPARENZA</w:t>
      </w:r>
      <w:bookmarkEnd w:id="6"/>
    </w:p>
    <w:p w:rsidR="00C064DD" w:rsidRPr="0029310E" w:rsidRDefault="00C064DD" w:rsidP="002E726F">
      <w:pPr>
        <w:spacing w:after="0"/>
        <w:jc w:val="both"/>
        <w:rPr>
          <w:rFonts w:ascii="Times New Roman" w:hAnsi="Times New Roman"/>
          <w:b/>
          <w:color w:val="000000"/>
          <w:sz w:val="24"/>
          <w:szCs w:val="24"/>
        </w:rPr>
      </w:pPr>
    </w:p>
    <w:p w:rsidR="00C064DD" w:rsidRPr="0029310E" w:rsidRDefault="00C064DD" w:rsidP="002E726F">
      <w:pPr>
        <w:spacing w:after="0"/>
        <w:jc w:val="both"/>
        <w:rPr>
          <w:rFonts w:ascii="Times New Roman" w:hAnsi="Times New Roman"/>
          <w:b/>
          <w:color w:val="000000"/>
          <w:sz w:val="24"/>
          <w:szCs w:val="24"/>
        </w:rPr>
      </w:pPr>
      <w:r w:rsidRPr="0029310E">
        <w:rPr>
          <w:rFonts w:ascii="Times New Roman" w:hAnsi="Times New Roman"/>
          <w:b/>
          <w:color w:val="000000"/>
          <w:sz w:val="24"/>
          <w:szCs w:val="24"/>
        </w:rPr>
        <w:t xml:space="preserve">L’amministrazione ritiene la </w:t>
      </w:r>
      <w:r w:rsidRPr="0029310E">
        <w:rPr>
          <w:rFonts w:ascii="Times New Roman" w:hAnsi="Times New Roman"/>
          <w:b/>
          <w:i/>
          <w:color w:val="000000"/>
          <w:sz w:val="24"/>
          <w:szCs w:val="24"/>
        </w:rPr>
        <w:t>trasparenza sostanziale</w:t>
      </w:r>
      <w:r w:rsidRPr="0029310E">
        <w:rPr>
          <w:rFonts w:ascii="Times New Roman" w:hAnsi="Times New Roman"/>
          <w:b/>
          <w:color w:val="000000"/>
          <w:sz w:val="24"/>
          <w:szCs w:val="24"/>
        </w:rPr>
        <w:t xml:space="preserve"> della PA e l’accesso civico le misure principali per contrastare i fenomeni corruttivi.  </w:t>
      </w:r>
    </w:p>
    <w:p w:rsidR="00C064DD" w:rsidRPr="0029310E" w:rsidRDefault="00C064DD" w:rsidP="002E726F">
      <w:pPr>
        <w:spacing w:after="0"/>
        <w:jc w:val="both"/>
        <w:rPr>
          <w:rFonts w:ascii="Times New Roman" w:hAnsi="Times New Roman"/>
          <w:sz w:val="24"/>
          <w:szCs w:val="24"/>
        </w:rPr>
      </w:pPr>
      <w:r w:rsidRPr="0029310E">
        <w:rPr>
          <w:rFonts w:ascii="Times New Roman" w:hAnsi="Times New Roman"/>
          <w:sz w:val="24"/>
          <w:szCs w:val="24"/>
        </w:rPr>
        <w:t>Il 14 marzo 2013 il legislatore ha varato il decreto legislativo 33/2013 di “</w:t>
      </w:r>
      <w:r w:rsidRPr="0029310E">
        <w:rPr>
          <w:rFonts w:ascii="Times New Roman" w:hAnsi="Times New Roman"/>
          <w:i/>
          <w:sz w:val="24"/>
          <w:szCs w:val="24"/>
        </w:rPr>
        <w:t>Riordino della disciplina riguardante gli obblighi di pubblicità, trasparenza e diffusione di informazioni da parte delle pubbliche amministrazioni</w:t>
      </w:r>
      <w:r w:rsidRPr="0029310E">
        <w:rPr>
          <w:rFonts w:ascii="Times New Roman" w:hAnsi="Times New Roman"/>
          <w:sz w:val="24"/>
          <w:szCs w:val="24"/>
        </w:rPr>
        <w:t xml:space="preserve">”. </w:t>
      </w:r>
    </w:p>
    <w:p w:rsidR="00C064DD" w:rsidRPr="0029310E" w:rsidRDefault="00C064DD" w:rsidP="002E726F">
      <w:pPr>
        <w:spacing w:after="0"/>
        <w:jc w:val="both"/>
        <w:rPr>
          <w:rFonts w:ascii="Times New Roman" w:hAnsi="Times New Roman"/>
          <w:color w:val="000000"/>
          <w:sz w:val="24"/>
          <w:szCs w:val="24"/>
        </w:rPr>
      </w:pPr>
      <w:r w:rsidRPr="0029310E">
        <w:rPr>
          <w:rFonts w:ascii="Times New Roman" w:hAnsi="Times New Roman"/>
          <w:color w:val="000000"/>
          <w:sz w:val="24"/>
          <w:szCs w:val="24"/>
        </w:rPr>
        <w:t xml:space="preserve">Il decreto legislativo 97/2016, il cosidetto </w:t>
      </w:r>
      <w:r w:rsidRPr="0029310E">
        <w:rPr>
          <w:rFonts w:ascii="Times New Roman" w:hAnsi="Times New Roman"/>
          <w:i/>
          <w:color w:val="000000"/>
          <w:sz w:val="24"/>
          <w:szCs w:val="24"/>
        </w:rPr>
        <w:t>Freedom of Information Act</w:t>
      </w:r>
      <w:r w:rsidRPr="0029310E">
        <w:rPr>
          <w:rFonts w:ascii="Times New Roman" w:hAnsi="Times New Roman"/>
          <w:color w:val="000000"/>
          <w:sz w:val="24"/>
          <w:szCs w:val="24"/>
        </w:rPr>
        <w:t>, ha modificato la quasi totalità degli articoli e degli istituiti del suddetto “</w:t>
      </w:r>
      <w:r w:rsidRPr="0029310E">
        <w:rPr>
          <w:rFonts w:ascii="Times New Roman" w:hAnsi="Times New Roman"/>
          <w:i/>
          <w:color w:val="000000"/>
          <w:sz w:val="24"/>
          <w:szCs w:val="24"/>
        </w:rPr>
        <w:t>decreto trasparenza</w:t>
      </w:r>
      <w:r w:rsidRPr="0029310E">
        <w:rPr>
          <w:rFonts w:ascii="Times New Roman" w:hAnsi="Times New Roman"/>
          <w:color w:val="000000"/>
          <w:sz w:val="24"/>
          <w:szCs w:val="24"/>
        </w:rPr>
        <w:t xml:space="preserve">”. </w:t>
      </w:r>
    </w:p>
    <w:p w:rsidR="00C064DD" w:rsidRPr="0029310E" w:rsidRDefault="00C064DD" w:rsidP="002E726F">
      <w:pPr>
        <w:spacing w:after="0"/>
        <w:jc w:val="both"/>
        <w:rPr>
          <w:rFonts w:ascii="Times New Roman" w:hAnsi="Times New Roman"/>
          <w:sz w:val="24"/>
          <w:szCs w:val="24"/>
        </w:rPr>
      </w:pPr>
      <w:r w:rsidRPr="0029310E">
        <w:rPr>
          <w:rFonts w:ascii="Times New Roman" w:hAnsi="Times New Roman"/>
          <w:sz w:val="24"/>
          <w:szCs w:val="24"/>
        </w:rPr>
        <w:t>Nella versione originale il decreto 33/2013 si poneva quale oggetto e fine la “</w:t>
      </w:r>
      <w:r w:rsidRPr="0029310E">
        <w:rPr>
          <w:rFonts w:ascii="Times New Roman" w:hAnsi="Times New Roman"/>
          <w:i/>
          <w:sz w:val="24"/>
          <w:szCs w:val="24"/>
        </w:rPr>
        <w:t>trasparenza della PA</w:t>
      </w:r>
      <w:r w:rsidRPr="0029310E">
        <w:rPr>
          <w:rFonts w:ascii="Times New Roman" w:hAnsi="Times New Roman"/>
          <w:sz w:val="24"/>
          <w:szCs w:val="24"/>
        </w:rPr>
        <w:t xml:space="preserve">”. Il </w:t>
      </w:r>
      <w:r w:rsidRPr="0029310E">
        <w:rPr>
          <w:rFonts w:ascii="Times New Roman" w:hAnsi="Times New Roman"/>
          <w:i/>
          <w:sz w:val="24"/>
          <w:szCs w:val="24"/>
        </w:rPr>
        <w:t>Foia</w:t>
      </w:r>
      <w:r w:rsidRPr="0029310E">
        <w:rPr>
          <w:rFonts w:ascii="Times New Roman" w:hAnsi="Times New Roman"/>
          <w:sz w:val="24"/>
          <w:szCs w:val="24"/>
        </w:rPr>
        <w:t xml:space="preserve"> ha spostato il baricentro della normativa a favore del “</w:t>
      </w:r>
      <w:r w:rsidRPr="0029310E">
        <w:rPr>
          <w:rFonts w:ascii="Times New Roman" w:hAnsi="Times New Roman"/>
          <w:i/>
          <w:sz w:val="24"/>
          <w:szCs w:val="24"/>
        </w:rPr>
        <w:t>cittadino</w:t>
      </w:r>
      <w:r w:rsidRPr="0029310E">
        <w:rPr>
          <w:rFonts w:ascii="Times New Roman" w:hAnsi="Times New Roman"/>
          <w:sz w:val="24"/>
          <w:szCs w:val="24"/>
        </w:rPr>
        <w:t xml:space="preserve">” e del suo diritto di accesso.   </w:t>
      </w:r>
    </w:p>
    <w:p w:rsidR="00C064DD" w:rsidRPr="0029310E" w:rsidRDefault="00C064DD" w:rsidP="002E726F">
      <w:pPr>
        <w:spacing w:after="0"/>
        <w:jc w:val="both"/>
        <w:rPr>
          <w:rFonts w:ascii="Times New Roman" w:hAnsi="Times New Roman"/>
          <w:sz w:val="24"/>
          <w:szCs w:val="24"/>
        </w:rPr>
      </w:pPr>
      <w:r w:rsidRPr="0029310E">
        <w:rPr>
          <w:rFonts w:ascii="Times New Roman" w:hAnsi="Times New Roman"/>
          <w:sz w:val="24"/>
          <w:szCs w:val="24"/>
        </w:rPr>
        <w:t xml:space="preserve">E’ la </w:t>
      </w:r>
      <w:r w:rsidRPr="0029310E">
        <w:rPr>
          <w:rFonts w:ascii="Times New Roman" w:hAnsi="Times New Roman"/>
          <w:i/>
          <w:sz w:val="24"/>
          <w:szCs w:val="24"/>
        </w:rPr>
        <w:t xml:space="preserve">libertà di accesso civico </w:t>
      </w:r>
      <w:r w:rsidRPr="0029310E">
        <w:rPr>
          <w:rFonts w:ascii="Times New Roman" w:hAnsi="Times New Roman"/>
          <w:sz w:val="24"/>
          <w:szCs w:val="24"/>
        </w:rPr>
        <w:t>l’oggetto ed il fine del decreto, libertà che viene assicurata, seppur nel rispetto “</w:t>
      </w:r>
      <w:r w:rsidRPr="0029310E">
        <w:rPr>
          <w:rFonts w:ascii="Times New Roman" w:hAnsi="Times New Roman"/>
          <w:i/>
          <w:sz w:val="24"/>
          <w:szCs w:val="24"/>
        </w:rPr>
        <w:t>dei limiti relativi alla tutela di interessi pubblici e privati giuridicamente rilevanti</w:t>
      </w:r>
      <w:r w:rsidRPr="0029310E">
        <w:rPr>
          <w:rFonts w:ascii="Times New Roman" w:hAnsi="Times New Roman"/>
          <w:sz w:val="24"/>
          <w:szCs w:val="24"/>
        </w:rPr>
        <w:t xml:space="preserve">”, attraverso: </w:t>
      </w:r>
    </w:p>
    <w:p w:rsidR="00C064DD" w:rsidRPr="0029310E" w:rsidRDefault="00C064DD" w:rsidP="002E726F">
      <w:pPr>
        <w:numPr>
          <w:ilvl w:val="0"/>
          <w:numId w:val="6"/>
        </w:numPr>
        <w:spacing w:after="0" w:line="276" w:lineRule="auto"/>
        <w:jc w:val="both"/>
        <w:rPr>
          <w:rFonts w:ascii="Times New Roman" w:hAnsi="Times New Roman"/>
          <w:sz w:val="24"/>
          <w:szCs w:val="24"/>
        </w:rPr>
      </w:pPr>
      <w:r w:rsidRPr="0029310E">
        <w:rPr>
          <w:rFonts w:ascii="Times New Roman" w:hAnsi="Times New Roman"/>
          <w:sz w:val="24"/>
          <w:szCs w:val="24"/>
        </w:rPr>
        <w:t xml:space="preserve">l’istituto </w:t>
      </w:r>
      <w:r w:rsidRPr="0029310E">
        <w:rPr>
          <w:rFonts w:ascii="Times New Roman" w:hAnsi="Times New Roman"/>
          <w:i/>
          <w:sz w:val="24"/>
          <w:szCs w:val="24"/>
        </w:rPr>
        <w:t xml:space="preserve">dell'accesso civico, </w:t>
      </w:r>
      <w:r w:rsidRPr="0029310E">
        <w:rPr>
          <w:rFonts w:ascii="Times New Roman" w:hAnsi="Times New Roman"/>
          <w:sz w:val="24"/>
          <w:szCs w:val="24"/>
        </w:rPr>
        <w:t xml:space="preserve">estremamente potenziato rispetto alla prima versione del decreto legislativo 33/2013; </w:t>
      </w:r>
    </w:p>
    <w:p w:rsidR="00C064DD" w:rsidRPr="0029310E" w:rsidRDefault="00C064DD" w:rsidP="002E726F">
      <w:pPr>
        <w:pStyle w:val="Corpotesto"/>
        <w:numPr>
          <w:ilvl w:val="0"/>
          <w:numId w:val="6"/>
        </w:numPr>
        <w:jc w:val="both"/>
        <w:rPr>
          <w:rFonts w:ascii="Times New Roman" w:hAnsi="Times New Roman" w:cs="Times New Roman"/>
          <w:sz w:val="24"/>
          <w:szCs w:val="24"/>
        </w:rPr>
      </w:pPr>
      <w:r w:rsidRPr="0029310E">
        <w:rPr>
          <w:rFonts w:ascii="Times New Roman" w:hAnsi="Times New Roman" w:cs="Times New Roman"/>
          <w:sz w:val="24"/>
          <w:szCs w:val="24"/>
        </w:rPr>
        <w:t xml:space="preserve">la </w:t>
      </w:r>
      <w:r w:rsidRPr="0029310E">
        <w:rPr>
          <w:rFonts w:ascii="Times New Roman" w:hAnsi="Times New Roman" w:cs="Times New Roman"/>
          <w:i/>
          <w:sz w:val="24"/>
          <w:szCs w:val="24"/>
        </w:rPr>
        <w:t>pubblicazione</w:t>
      </w:r>
      <w:r w:rsidRPr="0029310E">
        <w:rPr>
          <w:rFonts w:ascii="Times New Roman" w:hAnsi="Times New Roman" w:cs="Times New Roman"/>
          <w:sz w:val="24"/>
          <w:szCs w:val="24"/>
        </w:rPr>
        <w:t xml:space="preserve"> di documenti, informazioni e dati concernenti l'organizzazione e l'attività delle pubbliche amministrazioni.</w:t>
      </w:r>
    </w:p>
    <w:p w:rsidR="00C064DD" w:rsidRPr="0029310E" w:rsidRDefault="00C064DD" w:rsidP="002E726F">
      <w:pPr>
        <w:spacing w:after="0"/>
        <w:jc w:val="both"/>
        <w:rPr>
          <w:rFonts w:ascii="Times New Roman" w:hAnsi="Times New Roman"/>
          <w:color w:val="000000"/>
          <w:sz w:val="24"/>
          <w:szCs w:val="24"/>
        </w:rPr>
      </w:pPr>
      <w:r w:rsidRPr="0029310E">
        <w:rPr>
          <w:rFonts w:ascii="Times New Roman" w:hAnsi="Times New Roman"/>
          <w:color w:val="000000"/>
          <w:sz w:val="24"/>
          <w:szCs w:val="24"/>
        </w:rPr>
        <w:t xml:space="preserve">In ogni caso, </w:t>
      </w:r>
      <w:r w:rsidRPr="0029310E">
        <w:rPr>
          <w:rFonts w:ascii="Times New Roman" w:hAnsi="Times New Roman"/>
          <w:b/>
          <w:color w:val="000000"/>
          <w:sz w:val="24"/>
          <w:szCs w:val="24"/>
        </w:rPr>
        <w:t>la trasparenza rimane la misura cardine dell’intero impianto anticorruzione</w:t>
      </w:r>
      <w:r w:rsidRPr="0029310E">
        <w:rPr>
          <w:rFonts w:ascii="Times New Roman" w:hAnsi="Times New Roman"/>
          <w:color w:val="000000"/>
          <w:sz w:val="24"/>
          <w:szCs w:val="24"/>
        </w:rPr>
        <w:t xml:space="preserve"> delineato dal legislatore della legge 190/2012.  </w:t>
      </w:r>
    </w:p>
    <w:p w:rsidR="00C064DD" w:rsidRPr="0029310E" w:rsidRDefault="00C064DD" w:rsidP="002E726F">
      <w:pPr>
        <w:spacing w:after="0"/>
        <w:jc w:val="both"/>
        <w:rPr>
          <w:rFonts w:ascii="Times New Roman" w:hAnsi="Times New Roman"/>
          <w:sz w:val="24"/>
          <w:szCs w:val="24"/>
        </w:rPr>
      </w:pPr>
      <w:r w:rsidRPr="0029310E">
        <w:rPr>
          <w:rFonts w:ascii="Times New Roman" w:hAnsi="Times New Roman"/>
          <w:sz w:val="24"/>
          <w:szCs w:val="24"/>
        </w:rPr>
        <w:t xml:space="preserve">Secondo l’articolo 1 del d.lgs. 33/2013, rinnovato dal decreto legislativo 97/2016: </w:t>
      </w:r>
    </w:p>
    <w:p w:rsidR="00C064DD" w:rsidRPr="0029310E" w:rsidRDefault="00C064DD" w:rsidP="002E726F">
      <w:pPr>
        <w:spacing w:after="0"/>
        <w:jc w:val="both"/>
        <w:rPr>
          <w:rFonts w:ascii="Times New Roman" w:hAnsi="Times New Roman"/>
          <w:color w:val="000000"/>
          <w:sz w:val="24"/>
          <w:szCs w:val="24"/>
        </w:rPr>
      </w:pPr>
      <w:r w:rsidRPr="0029310E">
        <w:rPr>
          <w:rFonts w:ascii="Times New Roman" w:hAnsi="Times New Roman"/>
          <w:sz w:val="24"/>
          <w:szCs w:val="24"/>
        </w:rPr>
        <w:t>“</w:t>
      </w:r>
      <w:r w:rsidRPr="0029310E">
        <w:rPr>
          <w:rFonts w:ascii="Times New Roman" w:hAnsi="Times New Roman"/>
          <w:i/>
          <w:sz w:val="24"/>
          <w:szCs w:val="24"/>
        </w:rPr>
        <w:t xml:space="preserve">La trasparenza è intesa come accessibilità totale dei dati e documenti detenuti dalle pubbliche amministrazioni, allo scopo di tutelare i diritti dei cittadini, promuovere la partecipazione degli interessati all'attività amministrativa e </w:t>
      </w:r>
      <w:r w:rsidRPr="0029310E">
        <w:rPr>
          <w:rFonts w:ascii="Times New Roman" w:hAnsi="Times New Roman"/>
          <w:b/>
          <w:i/>
          <w:sz w:val="24"/>
          <w:szCs w:val="24"/>
        </w:rPr>
        <w:t>favorire forme diffuse di controllo sul perseguimento delle funzioni istituzionali e sull'utilizzo delle risorse pubbliche</w:t>
      </w:r>
      <w:r w:rsidRPr="0029310E">
        <w:rPr>
          <w:rFonts w:ascii="Times New Roman" w:hAnsi="Times New Roman"/>
          <w:i/>
          <w:sz w:val="24"/>
          <w:szCs w:val="24"/>
        </w:rPr>
        <w:t>.”.</w:t>
      </w:r>
    </w:p>
    <w:p w:rsidR="00C064DD" w:rsidRPr="0029310E" w:rsidRDefault="00C064DD" w:rsidP="002E726F">
      <w:pPr>
        <w:spacing w:after="0"/>
        <w:jc w:val="both"/>
        <w:rPr>
          <w:rFonts w:ascii="Times New Roman" w:hAnsi="Times New Roman"/>
          <w:color w:val="000000"/>
          <w:sz w:val="24"/>
          <w:szCs w:val="24"/>
        </w:rPr>
      </w:pPr>
      <w:r w:rsidRPr="0029310E">
        <w:rPr>
          <w:rFonts w:ascii="Times New Roman" w:hAnsi="Times New Roman"/>
          <w:color w:val="000000"/>
          <w:sz w:val="24"/>
          <w:szCs w:val="24"/>
        </w:rPr>
        <w:t xml:space="preserve">In conseguenza della cancellazione del </w:t>
      </w:r>
      <w:r w:rsidRPr="0029310E">
        <w:rPr>
          <w:rFonts w:ascii="Times New Roman" w:hAnsi="Times New Roman"/>
          <w:i/>
          <w:color w:val="000000"/>
          <w:sz w:val="24"/>
          <w:szCs w:val="24"/>
        </w:rPr>
        <w:t>programma triennale per la trasparenza e l’integrità</w:t>
      </w:r>
      <w:r w:rsidRPr="0029310E">
        <w:rPr>
          <w:rFonts w:ascii="Times New Roman" w:hAnsi="Times New Roman"/>
          <w:color w:val="000000"/>
          <w:sz w:val="24"/>
          <w:szCs w:val="24"/>
        </w:rPr>
        <w:t>, ad opera del decreto legislativo 97/2016, l’individuazione delle modalità di attuazione della trasparenza è parte integrante del PTPC in una “</w:t>
      </w:r>
      <w:r w:rsidRPr="0029310E">
        <w:rPr>
          <w:rFonts w:ascii="Times New Roman" w:hAnsi="Times New Roman"/>
          <w:i/>
          <w:color w:val="000000"/>
          <w:sz w:val="24"/>
          <w:szCs w:val="24"/>
        </w:rPr>
        <w:t>apposita sezione</w:t>
      </w:r>
      <w:r w:rsidRPr="0029310E">
        <w:rPr>
          <w:rFonts w:ascii="Times New Roman" w:hAnsi="Times New Roman"/>
          <w:color w:val="000000"/>
          <w:sz w:val="24"/>
          <w:szCs w:val="24"/>
        </w:rPr>
        <w:t xml:space="preserve">”. </w:t>
      </w:r>
    </w:p>
    <w:p w:rsidR="00C064DD" w:rsidRPr="0029310E" w:rsidRDefault="00C064DD" w:rsidP="002E726F">
      <w:pPr>
        <w:spacing w:after="0"/>
        <w:jc w:val="both"/>
        <w:rPr>
          <w:rFonts w:ascii="Times New Roman" w:hAnsi="Times New Roman"/>
          <w:color w:val="000000"/>
          <w:sz w:val="24"/>
          <w:szCs w:val="24"/>
        </w:rPr>
      </w:pPr>
      <w:r w:rsidRPr="0029310E">
        <w:rPr>
          <w:rFonts w:ascii="Times New Roman" w:hAnsi="Times New Roman"/>
          <w:color w:val="000000"/>
          <w:sz w:val="24"/>
          <w:szCs w:val="24"/>
        </w:rPr>
        <w:t>L’ANAC raccomanda alle amministrazioni di “</w:t>
      </w:r>
      <w:r w:rsidRPr="0029310E">
        <w:rPr>
          <w:rFonts w:ascii="Times New Roman" w:hAnsi="Times New Roman"/>
          <w:i/>
          <w:color w:val="000000"/>
          <w:sz w:val="24"/>
          <w:szCs w:val="24"/>
        </w:rPr>
        <w:t>rafforzare tale misura nei propri PTPC anche oltre al rispetto di specifici obblighi di pubblicazione già contenuti in disposizioni vigenti</w:t>
      </w:r>
      <w:r w:rsidRPr="0029310E">
        <w:rPr>
          <w:rFonts w:ascii="Times New Roman" w:hAnsi="Times New Roman"/>
          <w:color w:val="000000"/>
          <w:sz w:val="24"/>
          <w:szCs w:val="24"/>
        </w:rPr>
        <w:t xml:space="preserve">” (PNA 2016 pagina 24). </w:t>
      </w:r>
    </w:p>
    <w:p w:rsidR="00C064DD" w:rsidRPr="0029310E" w:rsidRDefault="00C064DD" w:rsidP="002E726F">
      <w:pPr>
        <w:keepNext/>
        <w:widowControl w:val="0"/>
        <w:spacing w:after="0"/>
        <w:outlineLvl w:val="1"/>
        <w:rPr>
          <w:rFonts w:ascii="Times New Roman" w:hAnsi="Times New Roman"/>
          <w:b/>
          <w:sz w:val="24"/>
          <w:szCs w:val="24"/>
        </w:rPr>
      </w:pPr>
    </w:p>
    <w:p w:rsidR="00C064DD" w:rsidRPr="0029310E" w:rsidRDefault="00C064DD" w:rsidP="002E726F">
      <w:pPr>
        <w:keepNext/>
        <w:widowControl w:val="0"/>
        <w:spacing w:after="0"/>
        <w:outlineLvl w:val="1"/>
        <w:rPr>
          <w:rFonts w:ascii="Times New Roman" w:hAnsi="Times New Roman"/>
          <w:b/>
          <w:bCs/>
          <w:sz w:val="24"/>
          <w:szCs w:val="24"/>
        </w:rPr>
      </w:pPr>
      <w:r w:rsidRPr="0029310E">
        <w:rPr>
          <w:rFonts w:ascii="Times New Roman" w:hAnsi="Times New Roman"/>
          <w:b/>
          <w:bCs/>
          <w:sz w:val="24"/>
          <w:szCs w:val="24"/>
        </w:rPr>
        <w:t xml:space="preserve">2. OBIETTIVI STRATEGICI </w:t>
      </w:r>
    </w:p>
    <w:p w:rsidR="00C064DD" w:rsidRPr="0029310E" w:rsidRDefault="00C064DD" w:rsidP="002E726F">
      <w:pPr>
        <w:spacing w:after="0"/>
        <w:jc w:val="both"/>
        <w:rPr>
          <w:rFonts w:ascii="Times New Roman" w:hAnsi="Times New Roman"/>
          <w:b/>
          <w:color w:val="000000"/>
          <w:sz w:val="24"/>
          <w:szCs w:val="24"/>
        </w:rPr>
      </w:pPr>
    </w:p>
    <w:p w:rsidR="00C064DD" w:rsidRPr="0029310E" w:rsidRDefault="00C064DD" w:rsidP="002E726F">
      <w:pPr>
        <w:spacing w:after="0"/>
        <w:jc w:val="both"/>
        <w:rPr>
          <w:rFonts w:ascii="Times New Roman" w:hAnsi="Times New Roman"/>
          <w:b/>
          <w:color w:val="000000"/>
          <w:sz w:val="24"/>
          <w:szCs w:val="24"/>
        </w:rPr>
      </w:pPr>
      <w:r w:rsidRPr="0029310E">
        <w:rPr>
          <w:rFonts w:ascii="Times New Roman" w:hAnsi="Times New Roman"/>
          <w:b/>
          <w:color w:val="000000"/>
          <w:sz w:val="24"/>
          <w:szCs w:val="24"/>
        </w:rPr>
        <w:t xml:space="preserve">L’amministrazione ritiene che la </w:t>
      </w:r>
      <w:r w:rsidRPr="0029310E">
        <w:rPr>
          <w:rFonts w:ascii="Times New Roman" w:hAnsi="Times New Roman"/>
          <w:b/>
          <w:i/>
          <w:color w:val="000000"/>
          <w:sz w:val="24"/>
          <w:szCs w:val="24"/>
        </w:rPr>
        <w:t xml:space="preserve">trasparenza </w:t>
      </w:r>
      <w:r w:rsidRPr="0029310E">
        <w:rPr>
          <w:rFonts w:ascii="Times New Roman" w:hAnsi="Times New Roman"/>
          <w:b/>
          <w:color w:val="000000"/>
          <w:sz w:val="24"/>
          <w:szCs w:val="24"/>
        </w:rPr>
        <w:t xml:space="preserve">sia la misura principale per contrastare i fenomeno corruttivi come definiti dalla legge 190/2012.  </w:t>
      </w:r>
    </w:p>
    <w:p w:rsidR="00C064DD" w:rsidRPr="0029310E" w:rsidRDefault="00C064DD" w:rsidP="002E726F">
      <w:pPr>
        <w:pStyle w:val="Corpotesto"/>
        <w:jc w:val="both"/>
        <w:rPr>
          <w:rFonts w:ascii="Times New Roman" w:hAnsi="Times New Roman" w:cs="Times New Roman"/>
          <w:i/>
          <w:sz w:val="24"/>
          <w:szCs w:val="24"/>
        </w:rPr>
      </w:pPr>
      <w:r w:rsidRPr="0029310E">
        <w:rPr>
          <w:rFonts w:ascii="Times New Roman" w:hAnsi="Times New Roman" w:cs="Times New Roman"/>
          <w:sz w:val="24"/>
          <w:szCs w:val="24"/>
        </w:rPr>
        <w:t xml:space="preserve">Pertanto, intende realizzare i seguenti obiettivi di </w:t>
      </w:r>
      <w:r w:rsidRPr="0029310E">
        <w:rPr>
          <w:rFonts w:ascii="Times New Roman" w:hAnsi="Times New Roman" w:cs="Times New Roman"/>
          <w:i/>
          <w:sz w:val="24"/>
          <w:szCs w:val="24"/>
        </w:rPr>
        <w:t xml:space="preserve">trasparenza sostanziale: </w:t>
      </w:r>
    </w:p>
    <w:p w:rsidR="00C064DD" w:rsidRPr="0029310E" w:rsidRDefault="00C064DD" w:rsidP="002E726F">
      <w:pPr>
        <w:pStyle w:val="Corpotesto"/>
        <w:numPr>
          <w:ilvl w:val="0"/>
          <w:numId w:val="15"/>
        </w:numPr>
        <w:suppressAutoHyphens w:val="0"/>
        <w:jc w:val="both"/>
        <w:rPr>
          <w:rFonts w:ascii="Times New Roman" w:hAnsi="Times New Roman" w:cs="Times New Roman"/>
          <w:sz w:val="24"/>
          <w:szCs w:val="24"/>
        </w:rPr>
      </w:pPr>
      <w:r w:rsidRPr="0029310E">
        <w:rPr>
          <w:rFonts w:ascii="Times New Roman" w:hAnsi="Times New Roman" w:cs="Times New Roman"/>
          <w:sz w:val="24"/>
          <w:szCs w:val="24"/>
        </w:rPr>
        <w:t xml:space="preserve">la </w:t>
      </w:r>
      <w:r w:rsidRPr="0029310E">
        <w:rPr>
          <w:rFonts w:ascii="Times New Roman" w:hAnsi="Times New Roman" w:cs="Times New Roman"/>
          <w:b/>
          <w:i/>
          <w:iCs/>
          <w:sz w:val="24"/>
          <w:szCs w:val="24"/>
          <w:u w:val="single"/>
        </w:rPr>
        <w:t>trasparenza</w:t>
      </w:r>
      <w:r w:rsidRPr="0029310E">
        <w:rPr>
          <w:rFonts w:ascii="Times New Roman" w:hAnsi="Times New Roman" w:cs="Times New Roman"/>
          <w:b/>
          <w:sz w:val="24"/>
          <w:szCs w:val="24"/>
          <w:u w:val="single"/>
        </w:rPr>
        <w:t xml:space="preserve"> quale reale ed effettiva accessibilità totale</w:t>
      </w:r>
      <w:r w:rsidRPr="0029310E">
        <w:rPr>
          <w:rFonts w:ascii="Times New Roman" w:hAnsi="Times New Roman" w:cs="Times New Roman"/>
          <w:b/>
          <w:sz w:val="24"/>
          <w:szCs w:val="24"/>
        </w:rPr>
        <w:t xml:space="preserve"> </w:t>
      </w:r>
      <w:r w:rsidRPr="0029310E">
        <w:rPr>
          <w:rFonts w:ascii="Times New Roman" w:hAnsi="Times New Roman" w:cs="Times New Roman"/>
          <w:sz w:val="24"/>
          <w:szCs w:val="24"/>
        </w:rPr>
        <w:t xml:space="preserve">alle informazioni concernenti l'organizzazione e l'attività dell’amministrazione; </w:t>
      </w:r>
    </w:p>
    <w:p w:rsidR="00C064DD" w:rsidRPr="0029310E" w:rsidRDefault="00C064DD" w:rsidP="002E726F">
      <w:pPr>
        <w:pStyle w:val="Corpotesto"/>
        <w:numPr>
          <w:ilvl w:val="0"/>
          <w:numId w:val="15"/>
        </w:numPr>
        <w:suppressAutoHyphens w:val="0"/>
        <w:jc w:val="both"/>
        <w:rPr>
          <w:rFonts w:ascii="Times New Roman" w:hAnsi="Times New Roman" w:cs="Times New Roman"/>
          <w:sz w:val="24"/>
          <w:szCs w:val="24"/>
        </w:rPr>
      </w:pPr>
      <w:r w:rsidRPr="0029310E">
        <w:rPr>
          <w:rFonts w:ascii="Times New Roman" w:hAnsi="Times New Roman" w:cs="Times New Roman"/>
          <w:b/>
          <w:sz w:val="24"/>
          <w:szCs w:val="24"/>
          <w:u w:val="single"/>
        </w:rPr>
        <w:t>il libero e illimitato esercizio dell’</w:t>
      </w:r>
      <w:r w:rsidRPr="0029310E">
        <w:rPr>
          <w:rFonts w:ascii="Times New Roman" w:hAnsi="Times New Roman" w:cs="Times New Roman"/>
          <w:b/>
          <w:i/>
          <w:iCs/>
          <w:sz w:val="24"/>
          <w:szCs w:val="24"/>
          <w:u w:val="single"/>
        </w:rPr>
        <w:t>accesso civico</w:t>
      </w:r>
      <w:r w:rsidRPr="0029310E">
        <w:rPr>
          <w:rFonts w:ascii="Times New Roman" w:hAnsi="Times New Roman" w:cs="Times New Roman"/>
          <w:b/>
          <w:sz w:val="24"/>
          <w:szCs w:val="24"/>
        </w:rPr>
        <w:t>,</w:t>
      </w:r>
      <w:r w:rsidRPr="0029310E">
        <w:rPr>
          <w:rFonts w:ascii="Times New Roman" w:hAnsi="Times New Roman" w:cs="Times New Roman"/>
          <w:sz w:val="24"/>
          <w:szCs w:val="24"/>
        </w:rPr>
        <w:t xml:space="preserve"> come potenziato dal decreto legislativo 97/2016, quale diritto riconosciuto a chiunque di richiedere documenti, informazioni e dati.</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lastRenderedPageBreak/>
        <w:t xml:space="preserve">Tali obiettivi hanno la funzione precipua di indirizzare l’azione amministrativa ed i comportamenti degli operatori verso: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a) elevati livelli di trasparenza dell’azione amministrativa e dei comportamenti di dipendenti e funzionari pubblici, anche onorari;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b) lo sviluppo della cultura della legalità e dell’integrità nella gestione del bene pubblico. </w:t>
      </w:r>
    </w:p>
    <w:p w:rsidR="00C064DD" w:rsidRPr="0029310E" w:rsidRDefault="00C064DD" w:rsidP="002E726F">
      <w:pPr>
        <w:keepNext/>
        <w:widowControl w:val="0"/>
        <w:spacing w:after="0"/>
        <w:jc w:val="both"/>
        <w:outlineLvl w:val="1"/>
        <w:rPr>
          <w:rFonts w:ascii="Times New Roman" w:hAnsi="Times New Roman"/>
          <w:b/>
          <w:sz w:val="24"/>
          <w:szCs w:val="24"/>
        </w:rPr>
      </w:pPr>
      <w:bookmarkStart w:id="7" w:name="_Toc437942570"/>
    </w:p>
    <w:p w:rsidR="00C064DD" w:rsidRPr="0029310E" w:rsidRDefault="00C064DD" w:rsidP="002E726F">
      <w:pPr>
        <w:keepNext/>
        <w:widowControl w:val="0"/>
        <w:spacing w:after="0"/>
        <w:jc w:val="both"/>
        <w:outlineLvl w:val="1"/>
        <w:rPr>
          <w:rFonts w:ascii="Times New Roman" w:hAnsi="Times New Roman"/>
          <w:b/>
          <w:bCs/>
          <w:sz w:val="24"/>
          <w:szCs w:val="24"/>
        </w:rPr>
      </w:pPr>
      <w:r w:rsidRPr="0029310E">
        <w:rPr>
          <w:rFonts w:ascii="Times New Roman" w:hAnsi="Times New Roman"/>
          <w:b/>
          <w:sz w:val="24"/>
          <w:szCs w:val="24"/>
        </w:rPr>
        <w:t>3. LE FORME DI ACCESSO CON PARTICOLARE RIFERIMENTO ALL’A</w:t>
      </w:r>
      <w:r w:rsidRPr="0029310E">
        <w:rPr>
          <w:rFonts w:ascii="Times New Roman" w:hAnsi="Times New Roman"/>
          <w:b/>
          <w:bCs/>
          <w:sz w:val="24"/>
          <w:szCs w:val="24"/>
        </w:rPr>
        <w:t>CCESSO CIVICO</w:t>
      </w:r>
      <w:bookmarkEnd w:id="7"/>
      <w:r w:rsidRPr="0029310E">
        <w:rPr>
          <w:rFonts w:ascii="Times New Roman" w:hAnsi="Times New Roman"/>
          <w:b/>
          <w:bCs/>
          <w:sz w:val="24"/>
          <w:szCs w:val="24"/>
        </w:rPr>
        <w:t xml:space="preserve"> </w:t>
      </w:r>
    </w:p>
    <w:p w:rsidR="00C064DD" w:rsidRPr="0029310E" w:rsidRDefault="00C064DD" w:rsidP="00082BC5">
      <w:pPr>
        <w:pStyle w:val="Default"/>
        <w:jc w:val="both"/>
        <w:rPr>
          <w:rFonts w:ascii="Times New Roman" w:hAnsi="Times New Roman" w:cs="Times New Roman"/>
        </w:rPr>
      </w:pPr>
    </w:p>
    <w:p w:rsidR="00C064DD" w:rsidRPr="0029310E" w:rsidRDefault="00C064DD" w:rsidP="00082BC5">
      <w:pPr>
        <w:pStyle w:val="Default"/>
        <w:jc w:val="both"/>
        <w:rPr>
          <w:rFonts w:ascii="Times New Roman" w:hAnsi="Times New Roman" w:cs="Times New Roman"/>
        </w:rPr>
      </w:pPr>
      <w:r w:rsidRPr="0029310E">
        <w:rPr>
          <w:rFonts w:ascii="Times New Roman" w:hAnsi="Times New Roman" w:cs="Times New Roman"/>
        </w:rPr>
        <w:t xml:space="preserve">Il d.lgs. 33/2013, come modificato dal d.lgs. 97/2016, di seguito definito “decreto trasparenza”, definisce tre forme di accesso  . </w:t>
      </w:r>
    </w:p>
    <w:p w:rsidR="00C064DD" w:rsidRPr="0029310E" w:rsidRDefault="00C064DD" w:rsidP="00082BC5">
      <w:pPr>
        <w:pStyle w:val="Default"/>
        <w:numPr>
          <w:ilvl w:val="0"/>
          <w:numId w:val="25"/>
        </w:numPr>
        <w:jc w:val="both"/>
        <w:rPr>
          <w:rFonts w:ascii="Times New Roman" w:hAnsi="Times New Roman" w:cs="Times New Roman"/>
        </w:rPr>
      </w:pPr>
      <w:r w:rsidRPr="0029310E">
        <w:rPr>
          <w:rFonts w:ascii="Times New Roman" w:hAnsi="Times New Roman" w:cs="Times New Roman"/>
        </w:rPr>
        <w:t xml:space="preserve">Per “accesso documentale” si intende l'accesso disciplinato dal capo V della legge 241/1990. </w:t>
      </w:r>
    </w:p>
    <w:p w:rsidR="00C064DD" w:rsidRPr="0029310E" w:rsidRDefault="00C064DD" w:rsidP="00082BC5">
      <w:pPr>
        <w:pStyle w:val="Default"/>
        <w:numPr>
          <w:ilvl w:val="0"/>
          <w:numId w:val="25"/>
        </w:numPr>
        <w:jc w:val="both"/>
        <w:rPr>
          <w:rFonts w:ascii="Times New Roman" w:hAnsi="Times New Roman" w:cs="Times New Roman"/>
        </w:rPr>
      </w:pPr>
      <w:r w:rsidRPr="0029310E">
        <w:rPr>
          <w:rFonts w:ascii="Times New Roman" w:hAnsi="Times New Roman" w:cs="Times New Roman"/>
        </w:rPr>
        <w:t>Per “accesso civico” si intende l'accesso di cui all'art. 5, comma 1</w:t>
      </w:r>
      <w:r w:rsidRPr="0029310E">
        <w:rPr>
          <w:rStyle w:val="Rimandonotaapidipagina"/>
          <w:rFonts w:ascii="Times New Roman" w:hAnsi="Times New Roman"/>
        </w:rPr>
        <w:footnoteReference w:id="2"/>
      </w:r>
      <w:r w:rsidRPr="0029310E">
        <w:rPr>
          <w:rFonts w:ascii="Times New Roman" w:hAnsi="Times New Roman" w:cs="Times New Roman"/>
        </w:rPr>
        <w:t xml:space="preserve">, del decreto trasparenza, ai documenti oggetto degli obblighi di pubblicazione. </w:t>
      </w:r>
    </w:p>
    <w:p w:rsidR="00C064DD" w:rsidRPr="0029310E" w:rsidRDefault="00C064DD" w:rsidP="00082BC5">
      <w:pPr>
        <w:pStyle w:val="Default"/>
        <w:numPr>
          <w:ilvl w:val="0"/>
          <w:numId w:val="25"/>
        </w:numPr>
        <w:jc w:val="both"/>
        <w:rPr>
          <w:rFonts w:ascii="Times New Roman" w:hAnsi="Times New Roman" w:cs="Times New Roman"/>
        </w:rPr>
      </w:pPr>
      <w:r w:rsidRPr="0029310E">
        <w:rPr>
          <w:rFonts w:ascii="Times New Roman" w:hAnsi="Times New Roman" w:cs="Times New Roman"/>
        </w:rPr>
        <w:t>Per “accesso generalizzato” si intende l'accesso di cui all'art. 5, comma 2</w:t>
      </w:r>
      <w:r w:rsidRPr="0029310E">
        <w:rPr>
          <w:rStyle w:val="Rimandonotaapidipagina"/>
          <w:rFonts w:ascii="Times New Roman" w:hAnsi="Times New Roman"/>
        </w:rPr>
        <w:footnoteReference w:id="3"/>
      </w:r>
      <w:r w:rsidRPr="0029310E">
        <w:rPr>
          <w:rFonts w:ascii="Times New Roman" w:hAnsi="Times New Roman" w:cs="Times New Roman"/>
        </w:rPr>
        <w:t xml:space="preserve">, del decreto trasparenza </w:t>
      </w:r>
    </w:p>
    <w:p w:rsidR="00C064DD" w:rsidRPr="0029310E" w:rsidRDefault="00C064DD" w:rsidP="00082BC5">
      <w:pPr>
        <w:pStyle w:val="Default"/>
        <w:jc w:val="both"/>
        <w:rPr>
          <w:rFonts w:ascii="Times New Roman" w:hAnsi="Times New Roman" w:cs="Times New Roman"/>
          <w:b/>
          <w:bCs/>
        </w:rPr>
      </w:pPr>
    </w:p>
    <w:p w:rsidR="00C064DD" w:rsidRPr="0029310E" w:rsidRDefault="00C064DD" w:rsidP="00082BC5">
      <w:pPr>
        <w:pStyle w:val="Default"/>
        <w:jc w:val="both"/>
        <w:rPr>
          <w:rFonts w:ascii="Times New Roman" w:hAnsi="Times New Roman" w:cs="Times New Roman"/>
        </w:rPr>
      </w:pPr>
      <w:r w:rsidRPr="0029310E">
        <w:rPr>
          <w:rFonts w:ascii="Times New Roman" w:hAnsi="Times New Roman" w:cs="Times New Roman"/>
          <w:bCs/>
        </w:rPr>
        <w:t xml:space="preserve">Relativamente le caratteristiche e funzioni dell’accesso civico generalizzato si osserva </w:t>
      </w:r>
      <w:r w:rsidRPr="0029310E">
        <w:rPr>
          <w:rFonts w:ascii="Times New Roman" w:hAnsi="Times New Roman" w:cs="Times New Roman"/>
          <w:b/>
          <w:bCs/>
        </w:rPr>
        <w:t xml:space="preserve">che l’ANAC con la </w:t>
      </w:r>
      <w:r w:rsidRPr="0029310E">
        <w:rPr>
          <w:rFonts w:ascii="Times New Roman" w:hAnsi="Times New Roman" w:cs="Times New Roman"/>
        </w:rPr>
        <w:t xml:space="preserve">delibera n. 1309 del 28 dicembre 2016 afferma che </w:t>
      </w:r>
      <w:r w:rsidRPr="0029310E">
        <w:rPr>
          <w:rFonts w:ascii="Times New Roman" w:hAnsi="Times New Roman" w:cs="Times New Roman"/>
          <w:b/>
          <w:bCs/>
        </w:rPr>
        <w:t>t</w:t>
      </w:r>
      <w:r w:rsidRPr="0029310E">
        <w:rPr>
          <w:rFonts w:ascii="Times New Roman" w:hAnsi="Times New Roman" w:cs="Times New Roman"/>
        </w:rPr>
        <w:t>ale nuova tipologia di accesso (d’ora in avanti “accesso generalizzato”), delineata nel novellato art. 5, comma 2 del decreto trasparenza, ai sensi del quale “</w:t>
      </w:r>
      <w:r w:rsidRPr="0029310E">
        <w:rPr>
          <w:rFonts w:ascii="Times New Roman" w:hAnsi="Times New Roman" w:cs="Times New Roman"/>
          <w:i/>
          <w:iCs/>
        </w:rPr>
        <w:t>chiunque ha diritto di accedere ai dati e ai documenti detenuti dalle pubbliche amministrazioni, ulteriori rispetto a quelli oggetto di pubblicazione ai sensi del presente decreto, nel rispetto dei limiti relativi alla tutela di interessi pubblici e privati giuridicamente rilevanti, secondo quanto previsto dall’art. 5-bis</w:t>
      </w:r>
      <w:r w:rsidRPr="0029310E">
        <w:rPr>
          <w:rFonts w:ascii="Times New Roman" w:hAnsi="Times New Roman" w:cs="Times New Roman"/>
        </w:rPr>
        <w:t xml:space="preserve">”, si traduce, in estrema sintesi, in un diritto di accesso non condizionato dalla titolarità di situazioni giuridicamente rilevanti ed avente ad oggetto tutti i dati e i documenti e informazioni detenuti dalle pubbliche amministrazioni, ulteriori rispetto a quelli per i quali è stabilito un obbligo di pubblicazione. </w:t>
      </w:r>
    </w:p>
    <w:p w:rsidR="00C064DD" w:rsidRPr="0029310E" w:rsidRDefault="00C064DD" w:rsidP="00082BC5">
      <w:pPr>
        <w:pStyle w:val="Default"/>
        <w:jc w:val="both"/>
        <w:rPr>
          <w:rFonts w:ascii="Times New Roman" w:hAnsi="Times New Roman" w:cs="Times New Roman"/>
        </w:rPr>
      </w:pPr>
      <w:r w:rsidRPr="0029310E">
        <w:rPr>
          <w:rFonts w:ascii="Times New Roman" w:hAnsi="Times New Roman" w:cs="Times New Roman"/>
        </w:rPr>
        <w:t xml:space="preserve">La </w:t>
      </w:r>
      <w:r w:rsidRPr="0029310E">
        <w:rPr>
          <w:rFonts w:ascii="Times New Roman" w:hAnsi="Times New Roman" w:cs="Times New Roman"/>
          <w:i/>
          <w:iCs/>
        </w:rPr>
        <w:t xml:space="preserve">ratio </w:t>
      </w:r>
      <w:r w:rsidRPr="0029310E">
        <w:rPr>
          <w:rFonts w:ascii="Times New Roman" w:hAnsi="Times New Roman" w:cs="Times New Roman"/>
        </w:rPr>
        <w:t xml:space="preserve">della riforma risiede nella dichiarata finalità di favorire forme diffuse di controllo sul perseguimento delle funzioni istituzionali e sull’utilizzo delle risorse pubbliche e di promuovere la partecipazione al dibattito pubblico (art. 5, comma 2 del decreto trasparenza). </w:t>
      </w:r>
    </w:p>
    <w:p w:rsidR="00C064DD" w:rsidRPr="0029310E" w:rsidRDefault="00C064DD" w:rsidP="00082BC5">
      <w:pPr>
        <w:pStyle w:val="Default"/>
        <w:jc w:val="both"/>
        <w:rPr>
          <w:rFonts w:ascii="Times New Roman" w:hAnsi="Times New Roman" w:cs="Times New Roman"/>
        </w:rPr>
      </w:pPr>
      <w:r w:rsidRPr="0029310E">
        <w:rPr>
          <w:rFonts w:ascii="Times New Roman" w:hAnsi="Times New Roman" w:cs="Times New Roman"/>
        </w:rPr>
        <w:t>Ciò in attuazione del principio di trasparenza che il novellato articolo 1, comma 1, del decreto trasparenza ridefinisce come accessibilità totale dei dati e dei documenti detenuti dalle pubbliche amministrazioni non più solo finalizzata a “</w:t>
      </w:r>
      <w:r w:rsidRPr="0029310E">
        <w:rPr>
          <w:rFonts w:ascii="Times New Roman" w:hAnsi="Times New Roman" w:cs="Times New Roman"/>
          <w:i/>
          <w:iCs/>
        </w:rPr>
        <w:t>favorire forme diffuse di controllo sul perseguimento delle funzioni istituzionali e sull’utilizzo delle risorse pubbliche</w:t>
      </w:r>
      <w:r w:rsidRPr="0029310E">
        <w:rPr>
          <w:rFonts w:ascii="Times New Roman" w:hAnsi="Times New Roman" w:cs="Times New Roman"/>
        </w:rPr>
        <w:t xml:space="preserve">”, ma soprattutto, e con una modifica assai significativa, come strumento di tutela dei diritti dei cittadini e di promozione della partecipazione degli interessati all’attività amministrativa. L’intento del legislatore è ancor più valorizzato in considerazione di quanto già previsto nel co. 2 dell’art. 1 del decreto trasparenza secondo cui la trasparenza è condizione di garanzia delle libertà individuali e collettive, nonché dei diritti civili, politici e sociali, e integra il diritto ad una buona amministrazione e concorre alla realizzazione di una amministrazione aperta, al servizio del cittadino. La trasparenza diviene, quindi, principio cardine e fondamentale dell’organizzazione delle pubbliche amministrazioni e dei loro rapporti con i cittadini.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rPr>
        <w:lastRenderedPageBreak/>
        <w:t xml:space="preserve">Anche nell’ordinamento dell’Unione Europea, soprattutto a seguito dell’entrata in vigore del Trattato di Lisbona (cfr. art. 15 TFUE e capo V della Carta dei diritti fondamentali) il diritto di accesso non è preordinato alla tutela di una propria posizione giuridica soggettiva, quindi non richiede la prova di un interesse specifico, ma risponde ad un principio generale di trasparenza dell’azione dell’Unione ed è uno strumento di controllo democratico sull'operato dell'amministrazione europea, volto a promuovere il buon governo e garantire la partecipazione della società civile. Dal canto suo, la Corte europea dei diritti dell’uomo ha qualificato il diritto di accesso alle informazione quale specifica manifestazione della libertà di informazione, ed in quanto tale protetto dall’art. 10(1) della Convenzione europea per la salvaguardia dei diritti dell’uomo e delle libertà fondamentali. Come previsto nella legge 190/2012, il principio della </w:t>
      </w:r>
      <w:r w:rsidRPr="0029310E">
        <w:rPr>
          <w:rFonts w:ascii="Times New Roman" w:hAnsi="Times New Roman" w:cs="Times New Roman"/>
          <w:color w:val="auto"/>
        </w:rPr>
        <w:t xml:space="preserve">trasparenza costituisce, inoltre, misura fondamentale per le azioni di prevenzione e contrasto anticipato della corruzione.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A questa impostazione consegue, nel novellato decreto 33/2013, il rovesciamento della precedente prospettiva che comportava l’attivazione del diritto di accesso civico solo strumentalmente all’adempimento degli obblighi di pubblicazione; ora è proprio la libertà di accedere ai dati e ai documenti, cui corrisponde una diversa versione dell’accesso civico, a divenire centrale nel nuovo sistema, in analogia agli ordinamenti aventi il </w:t>
      </w:r>
      <w:r w:rsidRPr="0029310E">
        <w:rPr>
          <w:rFonts w:ascii="Times New Roman" w:hAnsi="Times New Roman" w:cs="Times New Roman"/>
          <w:i/>
          <w:iCs/>
          <w:color w:val="auto"/>
        </w:rPr>
        <w:t>Freedom of Information Act (</w:t>
      </w:r>
      <w:r w:rsidRPr="0029310E">
        <w:rPr>
          <w:rFonts w:ascii="Times New Roman" w:hAnsi="Times New Roman" w:cs="Times New Roman"/>
          <w:color w:val="auto"/>
        </w:rPr>
        <w:t xml:space="preserve">FOIA), ove il diritto all’informazione è generalizzato e la regola generale è la trasparenza mentre la riservatezza e il segreto eccezioni.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In coerenza con il quadro normativo, il diritto di accesso civico generalizzato si configura - come il diritto di accesso civico disciplinato dall’art. 5, comma 1 - come diritto a titolarità diffusa, potendo essere attivato “</w:t>
      </w:r>
      <w:r w:rsidRPr="0029310E">
        <w:rPr>
          <w:rFonts w:ascii="Times New Roman" w:hAnsi="Times New Roman" w:cs="Times New Roman"/>
          <w:i/>
          <w:iCs/>
          <w:color w:val="auto"/>
        </w:rPr>
        <w:t>da chiunque</w:t>
      </w:r>
      <w:r w:rsidRPr="0029310E">
        <w:rPr>
          <w:rFonts w:ascii="Times New Roman" w:hAnsi="Times New Roman" w:cs="Times New Roman"/>
          <w:color w:val="auto"/>
        </w:rPr>
        <w:t>” e non essendo sottoposto ad alcuna limitazione quanto alla legittimazione soggettiva del richiedente (comma 3). A ciò si aggiunge un ulteriore elemento, ossia che l’istanza “</w:t>
      </w:r>
      <w:r w:rsidRPr="0029310E">
        <w:rPr>
          <w:rFonts w:ascii="Times New Roman" w:hAnsi="Times New Roman" w:cs="Times New Roman"/>
          <w:i/>
          <w:iCs/>
          <w:color w:val="auto"/>
        </w:rPr>
        <w:t>non richiede motivazione</w:t>
      </w:r>
      <w:r w:rsidRPr="0029310E">
        <w:rPr>
          <w:rFonts w:ascii="Times New Roman" w:hAnsi="Times New Roman" w:cs="Times New Roman"/>
          <w:color w:val="auto"/>
        </w:rPr>
        <w:t xml:space="preserve">”. In altri termini, tale nuova tipologia di accesso civico risponde all’interesse dell’ordinamento di assicurare ai cittadini (a “chiunque”), indipendentemente dalla titolarità di situazioni giuridiche soggettive, un accesso a dati, documenti e informazioni detenute da pubbliche amministrazioni e dai soggetti indicati nell’art. art. 2-bis del d.lgs. 33/2013 come modificato dal d.lgs. 97/2016.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Per quanto sopra evidenziato, si ritiene che i principi delineati debbano fungere da canone interpretativo in sede di applicazione della disciplina dell’accesso generalizzato da parte delle amministrazioni e degli altri soggetti obbligati, avendo il legislatore posto la trasparenza e l’accessibilità come la regola rispetto alla quale i limiti e le esclusioni previste dall’art. 5 bis del d.lgs. 33/2013, rappresentano eccezioni e come tali da interpretarsi restrittivamente. Sul punto si daranno indicazioni nei successivi paragrafi. </w:t>
      </w:r>
    </w:p>
    <w:p w:rsidR="00C064DD" w:rsidRPr="0029310E" w:rsidRDefault="00C064DD" w:rsidP="00082BC5">
      <w:pPr>
        <w:pStyle w:val="Default"/>
        <w:jc w:val="both"/>
        <w:rPr>
          <w:rFonts w:ascii="Times New Roman" w:hAnsi="Times New Roman" w:cs="Times New Roman"/>
          <w:i/>
          <w:iCs/>
          <w:color w:val="auto"/>
        </w:rPr>
      </w:pP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i/>
          <w:iCs/>
          <w:color w:val="auto"/>
        </w:rPr>
        <w:t>In ordine alla distinzione fra accesso generalizzato e accesso civico ANAC evidenzia che l</w:t>
      </w:r>
      <w:r w:rsidRPr="0029310E">
        <w:rPr>
          <w:rFonts w:ascii="Times New Roman" w:hAnsi="Times New Roman" w:cs="Times New Roman"/>
          <w:color w:val="auto"/>
        </w:rPr>
        <w:t xml:space="preserve">’accesso generalizzato non sostituisce l’accesso civico “semplice” (d’ora in poi “accesso civico”) previsto dall’art. 5, comma 1 del decreto trasparenza, e disciplinato nel citato decreto già prima delle modifiche ad opera del d.lgs. 97/2016. L’accesso civico rimane circoscritto ai soli atti, documenti e informazioni oggetto di obblighi di pubblicazione e costituisce un rimedio alla mancata osservanza degli obblighi di pubblicazione imposti dalla legge, sovrapponendo al dovere di pubblicazione, il diritto del privato di accedere ai documenti, dati e informazioni interessati dall’inadempienza.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I due diritti di accesso, pur accomunati dal diffuso riconoscimento in capo a “chiunque”, indipendentemente dalla titolarità di una situazione giuridica soggettiva connessa, sono quindi destinati a muoversi su binari differenti, come si ricava anche dall’inciso inserito all’inizio del comma 5 dell’art. 5, “</w:t>
      </w:r>
      <w:r w:rsidRPr="0029310E">
        <w:rPr>
          <w:rFonts w:ascii="Times New Roman" w:hAnsi="Times New Roman" w:cs="Times New Roman"/>
          <w:i/>
          <w:iCs/>
          <w:color w:val="auto"/>
        </w:rPr>
        <w:t>fatti salvi i casi di pubblicazione obbligatoria</w:t>
      </w:r>
      <w:r w:rsidRPr="0029310E">
        <w:rPr>
          <w:rFonts w:ascii="Times New Roman" w:hAnsi="Times New Roman" w:cs="Times New Roman"/>
          <w:color w:val="auto"/>
        </w:rPr>
        <w:t xml:space="preserve">”, nel quale viene disposta l’attivazione del contraddittorio in presenza di controinteressati per l’accesso generalizzato.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L’accesso generalizzato si delinea come affatto autonomo ed indipendente da presupposti obblighi di pubblicazione e come espressione, invece, di una libertà che incontra, quali unici limiti, da una parte, il rispetto della tutela degli interessi pubblici e/o privati indicati all’art. 5 bis, commi 1 e 2, e dall’altra, il rispetto delle norme che prevedono specifiche esclusioni (art. 5 bis, comma 3). </w:t>
      </w:r>
    </w:p>
    <w:p w:rsidR="00C064DD" w:rsidRPr="0029310E" w:rsidRDefault="00C064DD" w:rsidP="00082BC5">
      <w:pPr>
        <w:pStyle w:val="Default"/>
        <w:jc w:val="both"/>
        <w:rPr>
          <w:rFonts w:ascii="Times New Roman" w:hAnsi="Times New Roman" w:cs="Times New Roman"/>
          <w:i/>
          <w:iCs/>
          <w:color w:val="auto"/>
        </w:rPr>
      </w:pP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i/>
          <w:iCs/>
          <w:color w:val="auto"/>
        </w:rPr>
        <w:t>Per quanto attiene poi la distinzione fra accesso generalizzato e accesso agli atti ex l. 241/1990  occorre considerare che per l’ANAC l</w:t>
      </w:r>
      <w:r w:rsidRPr="0029310E">
        <w:rPr>
          <w:rFonts w:ascii="Times New Roman" w:hAnsi="Times New Roman" w:cs="Times New Roman"/>
          <w:color w:val="auto"/>
        </w:rPr>
        <w:t xml:space="preserve">’accesso generalizzato deve essere anche tenuto distinto dalla disciplina dell’accesso ai documenti amministrativi di cui agli articoli 22 e seguenti della legge 7 agosto 1990, n. 241 (d’ora in poi “accesso documentale”). La finalità dell’accesso documentale ex l. 241/90 è, in effetti, ben differente da quella sottesa all’accesso generalizzato ed è quella di porre i soggetti interessati in grado di esercitare al meglio le facoltà - partecipative e/o oppositive e difensive – che l'ordinamento attribuisce loro a tutela delle posizioni giuridiche qualificate di cui sono titolari. Più precisamente, dal punto di vista soggettivo, ai fini dell’istanza di accesso </w:t>
      </w:r>
      <w:r w:rsidRPr="0029310E">
        <w:rPr>
          <w:rFonts w:ascii="Times New Roman" w:hAnsi="Times New Roman" w:cs="Times New Roman"/>
          <w:i/>
          <w:iCs/>
          <w:color w:val="auto"/>
        </w:rPr>
        <w:t xml:space="preserve">ex lege </w:t>
      </w:r>
      <w:r w:rsidRPr="0029310E">
        <w:rPr>
          <w:rFonts w:ascii="Times New Roman" w:hAnsi="Times New Roman" w:cs="Times New Roman"/>
          <w:color w:val="auto"/>
        </w:rPr>
        <w:t>241 il richiedente deve dimostrare di essere titolare di un «</w:t>
      </w:r>
      <w:r w:rsidRPr="0029310E">
        <w:rPr>
          <w:rFonts w:ascii="Times New Roman" w:hAnsi="Times New Roman" w:cs="Times New Roman"/>
          <w:i/>
          <w:iCs/>
          <w:color w:val="auto"/>
        </w:rPr>
        <w:t>interesse diretto, concreto e attuale, corrispondente ad una situazione giuridicamente tutelata e collegata al documento al quale è chiesto l'accesso</w:t>
      </w:r>
      <w:r w:rsidRPr="0029310E">
        <w:rPr>
          <w:rFonts w:ascii="Times New Roman" w:hAnsi="Times New Roman" w:cs="Times New Roman"/>
          <w:color w:val="auto"/>
        </w:rPr>
        <w:t>». Mentre la legge 241/90 esclude, inoltre, perentoriamente l’utilizzo del diritto di accesso ivi disciplinato al fine di sottoporre l’amministrazione a un controllo generalizzato, il diritto di accesso generalizzato, oltre che quello “semplice”, è riconosciuto proprio “</w:t>
      </w:r>
      <w:r w:rsidRPr="0029310E">
        <w:rPr>
          <w:rFonts w:ascii="Times New Roman" w:hAnsi="Times New Roman" w:cs="Times New Roman"/>
          <w:i/>
          <w:iCs/>
          <w:color w:val="auto"/>
        </w:rPr>
        <w:t>allo scopo di favorire forme diffuse di controllo sul perseguimento delle funzioni istituzionali e sull’utilizzo delle risorse pubbliche e di promuovere la partecipazione al dibattito pubblico</w:t>
      </w:r>
      <w:r w:rsidRPr="0029310E">
        <w:rPr>
          <w:rFonts w:ascii="Times New Roman" w:hAnsi="Times New Roman" w:cs="Times New Roman"/>
          <w:color w:val="auto"/>
        </w:rPr>
        <w:t xml:space="preserve">”.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Dunque, l’accesso agli atti di cui alla l. 241/90 continua certamente a sussistere, ma parallelamente all’accesso civico (generalizzato e non), operando sulla base di norme e presupposti diversi.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Tenere ben distinte le due fattispecie è essenziale per calibrare i diversi interessi in gioco allorché si renda necessario un bilanciamento caso per caso tra tali interessi. Tale bilanciamento è, infatti, ben diverso nel caso dell’accesso 241 dove la tutela può consentire un accesso più in profondità a dati pertinenti e nel caso dell’accesso generalizzato, dove le esigenze di controllo diffuso del cittadino devono consentire un accesso meno in profondità (se del caso, in relazione all’operatività dei limiti) ma più esteso, avendo presente che l’accesso in questo caso comporta, di fatto, una larga conoscibilità (e diffusione) di dati, documenti e informazioni.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In sostanza, come già evidenziato, essendo l’ordinamento ormai decisamente improntato ad una netta preferenza per la trasparenza dell’attività amministrativa, la conoscibilità generalizzata degli atti diviene la regola, temperata solo dalla previsione di eccezioni poste a tutela di interessi (pubblici e privati) che possono essere lesi/pregiudicati dalla rivelazione di certe informazioni.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Vi saranno dunque ipotesi residuali in cui sarà possibile, ove titolari di una situazione giuridica qualificata, accedere ad atti e documenti per i quali è invece negato l’accesso generalizzato.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Nel rinviare a quanto specificato nel § 6.3. si consideri, d’altra parte, che i dinieghi di accesso agli atti e documenti di cui alla legge 241/1990, se motivati con esigenze di “riservatezza” pubblica o privata devono essere considerati attentamente anche ai fini dell’accesso generalizzato, ove l’istanza relativa a quest’ultimo sia identica e presentata nel medesimo contesto temporale a quella dell’accesso ex. l. 241/1990, indipendentemente dal soggetto che l’ha proposta. Si intende dire, cioè, che laddove l’amministrazione, con riferimento agli stessi dati, documenti e informazioni, abbia negato il diritto di accesso ex l. 241/1990, motivando nel merito, cioè con la necessità di tutelare un interesse pubblico o privato prevalente, e quindi nonostante l’esistenza di una posizione soggettiva legittimante ai sensi della 241/1990, per ragioni di coerenza sistematica e a garanzia di posizioni individuali specificamente riconosciute dall’ordinamento, si deve ritenere che le stesse esigenze di tutela dell’interesse pubblico o privato sussistano anche in presenza di una richiesta di accesso generalizzato, anche presentata da altri soggetti. Tali esigenze dovranno essere comunque motivate in termini di pregiudizio concreto all’interesse in gioco. Per ragioni di coerenza sistematica, quando è stato concesso un accesso generalizzato non può essere negato, per i medesimi documenti e dati, un accesso documentale. </w:t>
      </w:r>
    </w:p>
    <w:p w:rsidR="00C064DD" w:rsidRPr="0029310E" w:rsidRDefault="00C064DD" w:rsidP="00082BC5">
      <w:pPr>
        <w:pStyle w:val="Default"/>
        <w:jc w:val="both"/>
        <w:rPr>
          <w:rFonts w:ascii="Times New Roman" w:hAnsi="Times New Roman" w:cs="Times New Roman"/>
          <w:b/>
          <w:bCs/>
          <w:color w:val="auto"/>
        </w:rPr>
      </w:pP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Considerata la notevole innovatività della disciplina dell’accesso generalizzato, che si aggiunge alle altre tipologie di accesso, sembra opportuno prevedere l’adozione, anche nella forma di un regolamento interno sull’accesso, di una disciplina che fornisca un quadro organico e coordinato dei profili applicativi relativi alle tre tipologie di accesso, con il fine di dare attuazione al nuovo </w:t>
      </w:r>
      <w:r w:rsidRPr="0029310E">
        <w:rPr>
          <w:rFonts w:ascii="Times New Roman" w:hAnsi="Times New Roman" w:cs="Times New Roman"/>
          <w:color w:val="auto"/>
        </w:rPr>
        <w:lastRenderedPageBreak/>
        <w:t xml:space="preserve">principio di trasparenza introdotto dal legislatore e di evitare comportamenti disomogenei tra uffici della stessa amministrazione.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In particolare, tale disciplina potrebbe prevedere: </w:t>
      </w:r>
    </w:p>
    <w:p w:rsidR="00C064DD" w:rsidRPr="0029310E" w:rsidRDefault="00C064DD" w:rsidP="00082BC5">
      <w:pPr>
        <w:pStyle w:val="Default"/>
        <w:spacing w:after="14"/>
        <w:jc w:val="both"/>
        <w:rPr>
          <w:rFonts w:ascii="Times New Roman" w:hAnsi="Times New Roman" w:cs="Times New Roman"/>
          <w:color w:val="auto"/>
        </w:rPr>
      </w:pPr>
      <w:r w:rsidRPr="0029310E">
        <w:rPr>
          <w:rFonts w:ascii="Times New Roman" w:hAnsi="Times New Roman" w:cs="Times New Roman"/>
          <w:color w:val="auto"/>
        </w:rPr>
        <w:t xml:space="preserve">1. una sezione dedicata alla disciplina dell’accesso documentale;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2. una seconda sezione dedicata alla disciplina dell’accesso civico (“semplice”) connesso agli obblighi di pubblicazione di cui al d.lgs. n. 33; </w:t>
      </w:r>
    </w:p>
    <w:p w:rsidR="00C064DD" w:rsidRPr="0029310E" w:rsidRDefault="00C064DD" w:rsidP="00082BC5">
      <w:pPr>
        <w:pStyle w:val="Default"/>
        <w:spacing w:after="14"/>
        <w:jc w:val="both"/>
        <w:rPr>
          <w:rFonts w:ascii="Times New Roman" w:hAnsi="Times New Roman" w:cs="Times New Roman"/>
          <w:color w:val="auto"/>
        </w:rPr>
      </w:pPr>
      <w:r w:rsidRPr="0029310E">
        <w:rPr>
          <w:rFonts w:ascii="Times New Roman" w:hAnsi="Times New Roman" w:cs="Times New Roman"/>
          <w:color w:val="auto"/>
        </w:rPr>
        <w:t xml:space="preserve">3. una terza sezione dedicata alla disciplina dell’accesso generalizzato. Tale sezione dovrebbe disciplinare gli aspetti procedimentali interni per la gestione delle richieste di accesso generalizzato. Si tratterebbe, quindi, di: </w:t>
      </w:r>
    </w:p>
    <w:p w:rsidR="00C064DD" w:rsidRPr="0029310E" w:rsidRDefault="00C064DD" w:rsidP="00082BC5">
      <w:pPr>
        <w:pStyle w:val="Default"/>
        <w:spacing w:after="14"/>
        <w:jc w:val="both"/>
        <w:rPr>
          <w:rFonts w:ascii="Times New Roman" w:hAnsi="Times New Roman" w:cs="Times New Roman"/>
          <w:color w:val="auto"/>
        </w:rPr>
      </w:pPr>
      <w:r w:rsidRPr="0029310E">
        <w:rPr>
          <w:rFonts w:ascii="Times New Roman" w:hAnsi="Times New Roman" w:cs="Times New Roman"/>
          <w:color w:val="auto"/>
        </w:rPr>
        <w:t xml:space="preserve">a) provvedere a individuare gli uffici competenti a decidere sulle richieste di accesso generalizzato; </w:t>
      </w:r>
    </w:p>
    <w:p w:rsidR="00C064DD" w:rsidRPr="0029310E" w:rsidRDefault="00C064DD" w:rsidP="00082BC5">
      <w:pPr>
        <w:pStyle w:val="Default"/>
        <w:jc w:val="both"/>
        <w:rPr>
          <w:rFonts w:ascii="Times New Roman" w:hAnsi="Times New Roman" w:cs="Times New Roman"/>
          <w:color w:val="auto"/>
        </w:rPr>
      </w:pPr>
      <w:r w:rsidRPr="0029310E">
        <w:rPr>
          <w:rFonts w:ascii="Times New Roman" w:hAnsi="Times New Roman" w:cs="Times New Roman"/>
          <w:color w:val="auto"/>
        </w:rPr>
        <w:t xml:space="preserve">b) provvedere a disciplinare la procedura per la valutazione caso per caso delle richieste di accesso. </w:t>
      </w:r>
    </w:p>
    <w:p w:rsidR="00C064DD" w:rsidRPr="0029310E" w:rsidRDefault="00C064DD" w:rsidP="00082BC5">
      <w:pPr>
        <w:pStyle w:val="Default"/>
        <w:jc w:val="both"/>
        <w:rPr>
          <w:rFonts w:ascii="Times New Roman" w:hAnsi="Times New Roman" w:cs="Times New Roman"/>
          <w:color w:val="auto"/>
        </w:rPr>
      </w:pPr>
    </w:p>
    <w:p w:rsidR="00C064DD" w:rsidRPr="0029310E" w:rsidRDefault="00C064DD" w:rsidP="00082BC5">
      <w:pPr>
        <w:pStyle w:val="Default"/>
        <w:jc w:val="both"/>
        <w:rPr>
          <w:rFonts w:ascii="Times New Roman" w:hAnsi="Times New Roman" w:cs="Times New Roman"/>
          <w:i/>
          <w:iCs/>
          <w:color w:val="auto"/>
        </w:rPr>
      </w:pPr>
      <w:r w:rsidRPr="0029310E">
        <w:rPr>
          <w:rFonts w:ascii="Times New Roman" w:hAnsi="Times New Roman" w:cs="Times New Roman"/>
        </w:rPr>
        <w:t xml:space="preserve">Al fine di rafforzare il coordinamento dei comportamenti sulle richieste di accesso sarà necessario adottare anche adeguate soluzioni organizzative, quali, ad esempio, la concentrazione della competenza a decidere sulle richieste di accesso in un unico ufficio (dotato di risorse professionali adeguate, che si specializzano nel tempo, accumulando </w:t>
      </w:r>
      <w:r w:rsidRPr="0029310E">
        <w:rPr>
          <w:rFonts w:ascii="Times New Roman" w:hAnsi="Times New Roman" w:cs="Times New Roman"/>
          <w:i/>
          <w:iCs/>
        </w:rPr>
        <w:t xml:space="preserve">know how </w:t>
      </w:r>
      <w:r w:rsidRPr="0029310E">
        <w:rPr>
          <w:rFonts w:ascii="Times New Roman" w:hAnsi="Times New Roman" w:cs="Times New Roman"/>
        </w:rPr>
        <w:t>ed esperienza), che, ai fini istruttori, dialoga con gli uffici che detengono i dati richiesti</w:t>
      </w:r>
    </w:p>
    <w:p w:rsidR="00C064DD" w:rsidRPr="0029310E" w:rsidRDefault="00C064DD" w:rsidP="00082BC5">
      <w:pPr>
        <w:pStyle w:val="Default"/>
        <w:jc w:val="both"/>
        <w:rPr>
          <w:rFonts w:ascii="Times New Roman" w:hAnsi="Times New Roman" w:cs="Times New Roman"/>
          <w:i/>
          <w:iCs/>
          <w:color w:val="auto"/>
        </w:rPr>
      </w:pPr>
    </w:p>
    <w:p w:rsidR="00C064DD" w:rsidRPr="0029310E" w:rsidRDefault="00C064DD" w:rsidP="00082BC5">
      <w:pPr>
        <w:autoSpaceDE w:val="0"/>
        <w:autoSpaceDN w:val="0"/>
        <w:adjustRightInd w:val="0"/>
        <w:jc w:val="both"/>
        <w:rPr>
          <w:rFonts w:ascii="Times New Roman" w:hAnsi="Times New Roman"/>
          <w:color w:val="000000"/>
          <w:sz w:val="24"/>
          <w:szCs w:val="24"/>
        </w:rPr>
      </w:pPr>
      <w:r w:rsidRPr="0029310E">
        <w:rPr>
          <w:rFonts w:ascii="Times New Roman" w:hAnsi="Times New Roman"/>
          <w:i/>
          <w:iCs/>
          <w:sz w:val="24"/>
          <w:szCs w:val="24"/>
        </w:rPr>
        <w:t xml:space="preserve">Sarà infine opportuno valutare la istituzione di un  </w:t>
      </w:r>
      <w:r w:rsidRPr="0029310E">
        <w:rPr>
          <w:rFonts w:ascii="Times New Roman" w:hAnsi="Times New Roman"/>
          <w:color w:val="000000"/>
          <w:sz w:val="24"/>
          <w:szCs w:val="24"/>
        </w:rPr>
        <w:t>registro delle richieste di accesso presentate (per tutte le tipologie di accesso</w:t>
      </w:r>
      <w:r w:rsidRPr="0029310E">
        <w:rPr>
          <w:rFonts w:ascii="Times New Roman" w:hAnsi="Times New Roman"/>
          <w:sz w:val="24"/>
          <w:szCs w:val="24"/>
        </w:rPr>
        <w:t xml:space="preserve">) ANAC raccomanda che tale </w:t>
      </w:r>
      <w:r w:rsidRPr="0029310E">
        <w:rPr>
          <w:rFonts w:ascii="Times New Roman" w:hAnsi="Times New Roman"/>
          <w:color w:val="000000"/>
          <w:sz w:val="24"/>
          <w:szCs w:val="24"/>
        </w:rPr>
        <w:t xml:space="preserve">“cd. registro degli accessi”, sia pubblicato sul sito istituzionale dell’ente. Il registro contiene l’elenco delle richieste con l’oggetto e la data e il relativo esito con la data della decisione ed è pubblicato, oscurando i dati personali eventualmente presenti, e tenuto aggiornato almeno ogni sei mesi nella sezione Amministrazione trasparente, “altri contenuti – accesso civico” del sito web istituzionale. Oltre ad essere funzionale per il monitoraggio che l’Autorità intende svolgere sull’accesso generalizzato, la pubblicazione del cd. registro degli accessi può essere utile per le p.a. che in questo modo rendono noto su quali documenti, dati o informazioni è stato consentito l’accesso in una logica di semplificazione delle attività. </w:t>
      </w:r>
    </w:p>
    <w:p w:rsidR="00C064DD" w:rsidRPr="0029310E" w:rsidRDefault="00C064DD" w:rsidP="002E726F">
      <w:pPr>
        <w:pStyle w:val="Corpotesto"/>
        <w:jc w:val="both"/>
        <w:rPr>
          <w:rFonts w:ascii="Times New Roman" w:hAnsi="Times New Roman" w:cs="Times New Roman"/>
          <w:sz w:val="24"/>
          <w:szCs w:val="24"/>
        </w:rPr>
      </w:pPr>
    </w:p>
    <w:p w:rsidR="00C064DD" w:rsidRPr="0029310E" w:rsidRDefault="00C064DD" w:rsidP="002E726F">
      <w:pPr>
        <w:keepNext/>
        <w:widowControl w:val="0"/>
        <w:spacing w:after="0"/>
        <w:outlineLvl w:val="1"/>
        <w:rPr>
          <w:rFonts w:ascii="Times New Roman" w:hAnsi="Times New Roman"/>
          <w:b/>
          <w:bCs/>
          <w:sz w:val="24"/>
          <w:szCs w:val="24"/>
        </w:rPr>
      </w:pPr>
      <w:r w:rsidRPr="0029310E">
        <w:rPr>
          <w:rFonts w:ascii="Times New Roman" w:hAnsi="Times New Roman"/>
          <w:b/>
          <w:bCs/>
          <w:sz w:val="24"/>
          <w:szCs w:val="24"/>
        </w:rPr>
        <w:t xml:space="preserve">4. ORGANIZZAZIONE  </w:t>
      </w:r>
    </w:p>
    <w:p w:rsidR="00C064DD" w:rsidRPr="0029310E" w:rsidRDefault="00C064DD" w:rsidP="002E726F">
      <w:pPr>
        <w:pStyle w:val="Nessunaspaziatura1"/>
        <w:jc w:val="both"/>
        <w:rPr>
          <w:rFonts w:ascii="Times New Roman" w:hAnsi="Times New Roman"/>
          <w:b/>
          <w:sz w:val="24"/>
          <w:szCs w:val="24"/>
        </w:rPr>
      </w:pPr>
    </w:p>
    <w:p w:rsidR="00C064DD" w:rsidRPr="0029310E" w:rsidRDefault="00C064DD" w:rsidP="002E726F">
      <w:pPr>
        <w:pStyle w:val="Nessunaspaziatura1"/>
        <w:jc w:val="both"/>
        <w:rPr>
          <w:rFonts w:ascii="Times New Roman" w:hAnsi="Times New Roman"/>
          <w:b/>
          <w:sz w:val="24"/>
          <w:szCs w:val="24"/>
        </w:rPr>
      </w:pPr>
      <w:r w:rsidRPr="0029310E">
        <w:rPr>
          <w:rFonts w:ascii="Times New Roman" w:hAnsi="Times New Roman"/>
          <w:b/>
          <w:sz w:val="24"/>
          <w:szCs w:val="24"/>
        </w:rPr>
        <w:t>4.1. Il responsabile della trasparenza</w:t>
      </w:r>
    </w:p>
    <w:p w:rsidR="00C064DD" w:rsidRPr="0029310E" w:rsidRDefault="00C064DD" w:rsidP="002E726F">
      <w:pPr>
        <w:pStyle w:val="Nessunaspaziatura1"/>
        <w:jc w:val="both"/>
        <w:rPr>
          <w:rFonts w:ascii="Times New Roman" w:hAnsi="Times New Roman"/>
          <w:sz w:val="24"/>
          <w:szCs w:val="24"/>
        </w:rPr>
      </w:pP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Ai sensi dell’articolo 43 del decreto legislativo 33/2013, il Responsabile per la prevenzione della corruzione (</w:t>
      </w:r>
      <w:r w:rsidRPr="0029310E">
        <w:rPr>
          <w:rFonts w:ascii="Times New Roman" w:hAnsi="Times New Roman"/>
          <w:i/>
          <w:iCs/>
          <w:sz w:val="24"/>
          <w:szCs w:val="24"/>
        </w:rPr>
        <w:t xml:space="preserve">ex </w:t>
      </w:r>
      <w:r w:rsidRPr="0029310E">
        <w:rPr>
          <w:rFonts w:ascii="Times New Roman" w:hAnsi="Times New Roman"/>
          <w:sz w:val="24"/>
          <w:szCs w:val="24"/>
        </w:rPr>
        <w:t>art. 1 co. 7 della legge 190/2012) svolge le funzioni di Responsabile per la trasparenza.</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Il Responsabile per la prevenzione della corruzione è stato designato dal sindaco con apposito decreto  il Segretario Comunale</w:t>
      </w:r>
    </w:p>
    <w:p w:rsidR="00C064DD" w:rsidRPr="0029310E" w:rsidRDefault="00C064DD" w:rsidP="002E726F">
      <w:pPr>
        <w:pStyle w:val="Nessunaspaziatura1"/>
        <w:jc w:val="both"/>
        <w:rPr>
          <w:rFonts w:ascii="Times New Roman" w:hAnsi="Times New Roman"/>
          <w:b/>
          <w:sz w:val="24"/>
          <w:szCs w:val="24"/>
        </w:rPr>
      </w:pPr>
    </w:p>
    <w:p w:rsidR="00C064DD" w:rsidRPr="0029310E" w:rsidRDefault="00C064DD" w:rsidP="002E726F">
      <w:pPr>
        <w:pStyle w:val="Nessunaspaziatura1"/>
        <w:jc w:val="both"/>
        <w:rPr>
          <w:rFonts w:ascii="Times New Roman" w:hAnsi="Times New Roman"/>
          <w:b/>
          <w:sz w:val="24"/>
          <w:szCs w:val="24"/>
        </w:rPr>
      </w:pPr>
      <w:r w:rsidRPr="0029310E">
        <w:rPr>
          <w:rFonts w:ascii="Times New Roman" w:hAnsi="Times New Roman"/>
          <w:b/>
          <w:sz w:val="24"/>
          <w:szCs w:val="24"/>
        </w:rPr>
        <w:t>4.2. Referenti per la trasparenza</w:t>
      </w:r>
    </w:p>
    <w:p w:rsidR="00C064DD" w:rsidRPr="0029310E" w:rsidRDefault="00C064DD" w:rsidP="002E726F">
      <w:pPr>
        <w:pStyle w:val="Corpotesto"/>
        <w:jc w:val="both"/>
        <w:rPr>
          <w:rFonts w:ascii="Times New Roman" w:hAnsi="Times New Roman" w:cs="Times New Roman"/>
          <w:sz w:val="24"/>
          <w:szCs w:val="24"/>
        </w:rPr>
      </w:pP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I referenti per la trasparenza, che coadiuvano il Responsabile anticorruzione nello svolgimento delle attività previste dal decreto legislativo 33/2013, sono gli stessi Responsabili dei settori/uffici indicati nella colonna G della tabella riportata in calce. </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A tale fine vigileranno:</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sul tempestivo e regolare flusso delle informazioni da pubblicare ai fini del rispetto dei termini stabiliti dalla legge e dal Piano;</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xml:space="preserve">• sull’integrità, il costante aggiornamento, la completezza, la semplicità di consultazione , la comprensibilità, l’omogeneità, la facile accessibilità, nonché la conformità ai documenti originali in possesso dell’amministrazione, l’indicazione della loro provenienza e riutilizzabilità delle informazioni pubblicate. </w:t>
      </w:r>
    </w:p>
    <w:p w:rsidR="00C064DD" w:rsidRPr="0029310E" w:rsidRDefault="00C064DD" w:rsidP="002E726F">
      <w:pPr>
        <w:pStyle w:val="Nessunaspaziatura1"/>
        <w:jc w:val="both"/>
        <w:rPr>
          <w:rFonts w:ascii="Times New Roman" w:hAnsi="Times New Roman"/>
          <w:sz w:val="24"/>
          <w:szCs w:val="24"/>
        </w:rPr>
      </w:pPr>
    </w:p>
    <w:p w:rsidR="00C064DD" w:rsidRPr="0029310E" w:rsidRDefault="00C064DD" w:rsidP="002E726F">
      <w:pPr>
        <w:pStyle w:val="Nessunaspaziatura1"/>
        <w:jc w:val="both"/>
        <w:rPr>
          <w:rFonts w:ascii="Times New Roman" w:hAnsi="Times New Roman"/>
          <w:b/>
          <w:sz w:val="24"/>
          <w:szCs w:val="24"/>
        </w:rPr>
      </w:pPr>
      <w:r w:rsidRPr="0029310E">
        <w:rPr>
          <w:rFonts w:ascii="Times New Roman" w:hAnsi="Times New Roman"/>
          <w:b/>
          <w:sz w:val="24"/>
          <w:szCs w:val="24"/>
        </w:rPr>
        <w:t>4.3. Coordinamento del Programma Triennale per la trasparenza e l’integrità con il Piano delle Performance</w:t>
      </w:r>
    </w:p>
    <w:p w:rsidR="00C064DD" w:rsidRPr="0029310E" w:rsidRDefault="00C064DD" w:rsidP="002E726F">
      <w:pPr>
        <w:pStyle w:val="Nessunaspaziatura1"/>
        <w:jc w:val="both"/>
        <w:rPr>
          <w:rFonts w:ascii="Times New Roman" w:hAnsi="Times New Roman"/>
          <w:sz w:val="24"/>
          <w:szCs w:val="24"/>
        </w:rPr>
      </w:pP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Posizione centrale nel Programma per la trasparenza occupa l’adozione del Piano delle performance, destinato ad indicare, con chiarezza, obiettivi e indicatori, valutazione e rendicontazione.</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Al Piano della Performance è anche collegato l’intero sistema di valutazione e di incentivazione di tutto il personale dell’ente, tanto che PEG, PDO e Piano della performance possono essere riuniti in un unico documento (art. 169 co. 3-bis TUEL).</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La pubblicazione dei dati relativi al raggiungimenti degli obiettivi inseriti nel piano delle Performance avranno particolare rilevanza nella scelta delle informazioni da rendere disponibili ai cittadini e agli utenti dei servizi.</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Fanno parte del Ciclo della Performance, come stabilito negli “Strumenti di valutazione e msurazione delle Performance di questo ente:</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1. La Relazione Previsionale e programmatica (ora Documento Unico di Programmazione -DUP);</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2. il Piano Dettagliato degli Obiettivi - PDO - che definisce ed individua gli obiettivi che l’ente si impegna a perseguire;</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3. il Piano Esecutivo di Gestione (P.E.G.) o altro documento di programmazione in vigore nell’ente che, a partire dall’analisi dei bisogni e dalle finalità delle politiche contenute negli strumenti di programmazione sovraordinati, contiene e definisce gli obiettivi della gestione.</w:t>
      </w:r>
    </w:p>
    <w:p w:rsidR="00C064DD" w:rsidRPr="0029310E" w:rsidRDefault="00C064DD" w:rsidP="002E726F">
      <w:pPr>
        <w:pStyle w:val="Nessunaspaziatura1"/>
        <w:jc w:val="both"/>
        <w:rPr>
          <w:rFonts w:ascii="Times New Roman" w:hAnsi="Times New Roman"/>
          <w:b/>
          <w:sz w:val="24"/>
          <w:szCs w:val="24"/>
        </w:rPr>
      </w:pPr>
    </w:p>
    <w:p w:rsidR="00C064DD" w:rsidRPr="0029310E" w:rsidRDefault="00C064DD" w:rsidP="002E726F">
      <w:pPr>
        <w:pStyle w:val="Nessunaspaziatura1"/>
        <w:jc w:val="both"/>
        <w:rPr>
          <w:rFonts w:ascii="Times New Roman" w:hAnsi="Times New Roman"/>
          <w:b/>
          <w:sz w:val="24"/>
          <w:szCs w:val="24"/>
        </w:rPr>
      </w:pPr>
      <w:r w:rsidRPr="0029310E">
        <w:rPr>
          <w:rFonts w:ascii="Times New Roman" w:hAnsi="Times New Roman"/>
          <w:b/>
          <w:sz w:val="24"/>
          <w:szCs w:val="24"/>
        </w:rPr>
        <w:t>4.4. Misure di monitoraggio e di vigilanza sull’attuazione degli obblighi di trasparenza</w:t>
      </w:r>
    </w:p>
    <w:p w:rsidR="00C064DD" w:rsidRPr="0029310E" w:rsidRDefault="00C064DD" w:rsidP="002E726F">
      <w:pPr>
        <w:pStyle w:val="Nessunaspaziatura1"/>
        <w:rPr>
          <w:rFonts w:ascii="Times New Roman" w:hAnsi="Times New Roman"/>
          <w:sz w:val="24"/>
          <w:szCs w:val="24"/>
        </w:rPr>
      </w:pPr>
    </w:p>
    <w:p w:rsidR="00C064DD" w:rsidRPr="0029310E" w:rsidRDefault="00C064DD" w:rsidP="002E726F">
      <w:pPr>
        <w:pStyle w:val="Nessunaspaziatura1"/>
        <w:rPr>
          <w:rFonts w:ascii="Times New Roman" w:hAnsi="Times New Roman"/>
          <w:sz w:val="24"/>
          <w:szCs w:val="24"/>
        </w:rPr>
      </w:pPr>
      <w:r w:rsidRPr="0029310E">
        <w:rPr>
          <w:rFonts w:ascii="Times New Roman" w:hAnsi="Times New Roman"/>
          <w:sz w:val="24"/>
          <w:szCs w:val="24"/>
        </w:rPr>
        <w:t>L’attività di controllo sarà svolta dal Segretario comunale, coadiuvato dal NdV.</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Tale controllo verrà attuato:</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nell’ambito dell’attività di monitoraggio previsto periodicamente dall’ANAC da svolgersi d parte del  Nucleo di Valutazione;</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Attraverso il monitoraggio effettuato in merito al diritto di accesso civico (art. 5 d.lgs. 33/2013) sulla base delle segnalazioni pervenute.</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xml:space="preserve">Nell’apposita sezione di “Amministrazione trasparente” vengono pubblicati i monitoraggi svolti dal NdV. </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xml:space="preserve">Inoltre, il NdV, utilizzerà le informazioni e i dati relativi all'attuazione degli obblighi di trasparenza ai fini della misurazione e valutazione delle performance organizzativa ed individuale del responsabile e dei singoli uffici responsabili della trasmissione dei dati. </w:t>
      </w:r>
    </w:p>
    <w:p w:rsidR="00C064DD" w:rsidRPr="0029310E" w:rsidRDefault="00C064DD" w:rsidP="002E726F">
      <w:pPr>
        <w:pStyle w:val="Nessunaspaziatura"/>
        <w:jc w:val="both"/>
        <w:rPr>
          <w:rFonts w:ascii="Times New Roman" w:hAnsi="Times New Roman"/>
          <w:b/>
          <w:sz w:val="24"/>
          <w:szCs w:val="24"/>
        </w:rPr>
      </w:pPr>
      <w:bookmarkStart w:id="8" w:name="_Toc437942561"/>
    </w:p>
    <w:p w:rsidR="00C064DD" w:rsidRPr="0029310E" w:rsidRDefault="00C064DD" w:rsidP="002E726F">
      <w:pPr>
        <w:keepNext/>
        <w:widowControl w:val="0"/>
        <w:spacing w:after="0"/>
        <w:jc w:val="both"/>
        <w:outlineLvl w:val="1"/>
        <w:rPr>
          <w:rFonts w:ascii="Times New Roman" w:hAnsi="Times New Roman"/>
          <w:b/>
          <w:bCs/>
          <w:caps/>
          <w:sz w:val="24"/>
          <w:szCs w:val="24"/>
        </w:rPr>
      </w:pPr>
      <w:r w:rsidRPr="0029310E">
        <w:rPr>
          <w:rFonts w:ascii="Times New Roman" w:hAnsi="Times New Roman"/>
          <w:b/>
          <w:bCs/>
          <w:caps/>
          <w:sz w:val="24"/>
          <w:szCs w:val="24"/>
        </w:rPr>
        <w:t xml:space="preserve">5. </w:t>
      </w:r>
      <w:r w:rsidRPr="0029310E">
        <w:rPr>
          <w:rFonts w:ascii="Times New Roman" w:hAnsi="Times New Roman"/>
          <w:b/>
          <w:caps/>
          <w:sz w:val="24"/>
          <w:szCs w:val="24"/>
        </w:rPr>
        <w:t>Iniziative e strumenti di comunicazione per la diffusione dei contenuti del Programma e dei dati pubblicati</w:t>
      </w:r>
      <w:r w:rsidRPr="0029310E">
        <w:rPr>
          <w:rFonts w:ascii="Times New Roman" w:hAnsi="Times New Roman"/>
          <w:b/>
          <w:bCs/>
          <w:caps/>
          <w:sz w:val="24"/>
          <w:szCs w:val="24"/>
        </w:rPr>
        <w:t xml:space="preserve">  </w:t>
      </w:r>
    </w:p>
    <w:p w:rsidR="00C064DD" w:rsidRPr="0029310E" w:rsidRDefault="00C064DD" w:rsidP="002E726F">
      <w:pPr>
        <w:pStyle w:val="Corpotesto"/>
        <w:jc w:val="both"/>
        <w:rPr>
          <w:rFonts w:ascii="Times New Roman" w:hAnsi="Times New Roman" w:cs="Times New Roman"/>
          <w:sz w:val="24"/>
          <w:szCs w:val="24"/>
        </w:rPr>
      </w:pP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Per assicurare che la </w:t>
      </w:r>
      <w:r w:rsidRPr="0029310E">
        <w:rPr>
          <w:rFonts w:ascii="Times New Roman" w:hAnsi="Times New Roman" w:cs="Times New Roman"/>
          <w:i/>
          <w:sz w:val="24"/>
          <w:szCs w:val="24"/>
        </w:rPr>
        <w:t>trasparenza sia sostanziale</w:t>
      </w:r>
      <w:r w:rsidRPr="0029310E">
        <w:rPr>
          <w:rFonts w:ascii="Times New Roman" w:hAnsi="Times New Roman" w:cs="Times New Roman"/>
          <w:sz w:val="24"/>
          <w:szCs w:val="24"/>
        </w:rPr>
        <w:t xml:space="preserve"> </w:t>
      </w:r>
      <w:r w:rsidRPr="0029310E">
        <w:rPr>
          <w:rFonts w:ascii="Times New Roman" w:hAnsi="Times New Roman" w:cs="Times New Roman"/>
          <w:i/>
          <w:sz w:val="24"/>
          <w:szCs w:val="24"/>
        </w:rPr>
        <w:t xml:space="preserve">ed effettiva </w:t>
      </w:r>
      <w:r w:rsidRPr="0029310E">
        <w:rPr>
          <w:rFonts w:ascii="Times New Roman" w:hAnsi="Times New Roman" w:cs="Times New Roman"/>
          <w:sz w:val="24"/>
          <w:szCs w:val="24"/>
        </w:rPr>
        <w:t xml:space="preserve">non è sufficiente provvedere alla pubblicazione di tutti gli atti ed i provvedimenti previsti dalla normativa, occorre </w:t>
      </w:r>
      <w:r w:rsidRPr="0029310E">
        <w:rPr>
          <w:rFonts w:ascii="Times New Roman" w:hAnsi="Times New Roman" w:cs="Times New Roman"/>
          <w:b/>
          <w:sz w:val="24"/>
          <w:szCs w:val="24"/>
        </w:rPr>
        <w:t>semplificarne il linguaggio</w:t>
      </w:r>
      <w:r w:rsidRPr="0029310E">
        <w:rPr>
          <w:rFonts w:ascii="Times New Roman" w:hAnsi="Times New Roman" w:cs="Times New Roman"/>
          <w:sz w:val="24"/>
          <w:szCs w:val="24"/>
        </w:rPr>
        <w:t xml:space="preserve">, </w:t>
      </w:r>
      <w:r w:rsidRPr="0029310E">
        <w:rPr>
          <w:rFonts w:ascii="Times New Roman" w:hAnsi="Times New Roman" w:cs="Times New Roman"/>
          <w:b/>
          <w:sz w:val="24"/>
          <w:szCs w:val="24"/>
        </w:rPr>
        <w:t>rimodulandolo in funzione della trasparenza e della piena comprensibilità del contenuto dei documenti da parte di chiunque e non solo degli addetti ai lavori</w:t>
      </w:r>
      <w:r w:rsidRPr="0029310E">
        <w:rPr>
          <w:rFonts w:ascii="Times New Roman" w:hAnsi="Times New Roman" w:cs="Times New Roman"/>
          <w:sz w:val="24"/>
          <w:szCs w:val="24"/>
        </w:rPr>
        <w:t xml:space="preserve">.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E’ necessario utilizzare un linguaggio semplice, elementare, evitando per quanto possibile espressioni burocratiche, abbreviazioni e tecnicismi dando applicazione alle direttive emanate dal Dipartimento della Funzione Pubblica negli anni 2002 e 2005 in tema di </w:t>
      </w:r>
      <w:r w:rsidRPr="0029310E">
        <w:rPr>
          <w:rFonts w:ascii="Times New Roman" w:hAnsi="Times New Roman" w:cs="Times New Roman"/>
          <w:i/>
          <w:sz w:val="24"/>
          <w:szCs w:val="24"/>
        </w:rPr>
        <w:t>semplificazione del linguaggio</w:t>
      </w:r>
      <w:r w:rsidRPr="0029310E">
        <w:rPr>
          <w:rFonts w:ascii="Times New Roman" w:hAnsi="Times New Roman" w:cs="Times New Roman"/>
          <w:sz w:val="24"/>
          <w:szCs w:val="24"/>
        </w:rPr>
        <w:t xml:space="preserve"> delle pubbliche amministrazioni.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Il </w:t>
      </w:r>
      <w:r w:rsidRPr="0029310E">
        <w:rPr>
          <w:rFonts w:ascii="Times New Roman" w:hAnsi="Times New Roman" w:cs="Times New Roman"/>
          <w:b/>
          <w:sz w:val="24"/>
          <w:szCs w:val="24"/>
        </w:rPr>
        <w:t>sito web</w:t>
      </w:r>
      <w:r w:rsidRPr="0029310E">
        <w:rPr>
          <w:rFonts w:ascii="Times New Roman" w:hAnsi="Times New Roman" w:cs="Times New Roman"/>
          <w:sz w:val="24"/>
          <w:szCs w:val="24"/>
        </w:rPr>
        <w:t xml:space="preserve"> dell’ente è il mezzo primario di comunicazione, il più accessibile ed il meno oneroso, attraverso il quale l’amministrazione garantisce un’informazione trasparente ed esauriente circa il suo operato, promuove nuove relazioni con i cittadini, le imprese le altre PA, pubblicizza e consente l’accesso ai propri servizi, consolida la propria immagine istituzionale.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lastRenderedPageBreak/>
        <w:t xml:space="preserve">Ai fini dell’applicazione dei principi di trasparenza e integrità, l’ente ha da tempo realizzato un sito internet istituzionale costantemente aggiornato.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La legge 69/2009 riconosce l’effetto di “</w:t>
      </w:r>
      <w:r w:rsidRPr="0029310E">
        <w:rPr>
          <w:rFonts w:ascii="Times New Roman" w:hAnsi="Times New Roman" w:cs="Times New Roman"/>
          <w:i/>
          <w:iCs/>
          <w:sz w:val="24"/>
          <w:szCs w:val="24"/>
        </w:rPr>
        <w:t>pubblicità legale</w:t>
      </w:r>
      <w:r w:rsidRPr="0029310E">
        <w:rPr>
          <w:rFonts w:ascii="Times New Roman" w:hAnsi="Times New Roman" w:cs="Times New Roman"/>
          <w:sz w:val="24"/>
          <w:szCs w:val="24"/>
        </w:rPr>
        <w:t xml:space="preserve">” soltanto alle pubblicazioni effettuate sui siti informatici delle PA.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L’articolo 32 della suddetta legge dispone che “</w:t>
      </w:r>
      <w:r w:rsidRPr="0029310E">
        <w:rPr>
          <w:rFonts w:ascii="Times New Roman" w:hAnsi="Times New Roman" w:cs="Times New Roman"/>
          <w:i/>
          <w:iCs/>
          <w:sz w:val="24"/>
          <w:szCs w:val="24"/>
        </w:rPr>
        <w:t>a far data dal 1° gennaio 2010, gli obblighi di pubblicazione di atti e provvedimenti amministrativi aventi effetto di pubblicità legale si intendono assolti con la pubblicazione nei propri siti informatici da parte delle amministrazioni e degli enti pubblici obbligati</w:t>
      </w:r>
      <w:r w:rsidRPr="0029310E">
        <w:rPr>
          <w:rFonts w:ascii="Times New Roman" w:hAnsi="Times New Roman" w:cs="Times New Roman"/>
          <w:sz w:val="24"/>
          <w:szCs w:val="24"/>
        </w:rPr>
        <w:t xml:space="preserve">”.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L’amministrazione ha adempiuto al dettato normativo sin dal 1° gennaio 2010: l’albo pretorio è esclusivamente informatico. Il relativo link è ben indicato nella </w:t>
      </w:r>
      <w:r w:rsidRPr="0029310E">
        <w:rPr>
          <w:rFonts w:ascii="Times New Roman" w:hAnsi="Times New Roman" w:cs="Times New Roman"/>
          <w:i/>
          <w:iCs/>
          <w:sz w:val="24"/>
          <w:szCs w:val="24"/>
        </w:rPr>
        <w:t>home page</w:t>
      </w:r>
      <w:r w:rsidRPr="0029310E">
        <w:rPr>
          <w:rFonts w:ascii="Times New Roman" w:hAnsi="Times New Roman" w:cs="Times New Roman"/>
          <w:sz w:val="24"/>
          <w:szCs w:val="24"/>
        </w:rPr>
        <w:t xml:space="preserve"> del sito istituzionale.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Come deliberato dall’</w:t>
      </w:r>
      <w:r w:rsidRPr="0029310E">
        <w:rPr>
          <w:rFonts w:ascii="Times New Roman" w:hAnsi="Times New Roman" w:cs="Times New Roman"/>
          <w:i/>
          <w:iCs/>
          <w:sz w:val="24"/>
          <w:szCs w:val="24"/>
        </w:rPr>
        <w:t>Autorità nazionale anticorruzione</w:t>
      </w:r>
      <w:r w:rsidRPr="0029310E">
        <w:rPr>
          <w:rFonts w:ascii="Times New Roman" w:hAnsi="Times New Roman" w:cs="Times New Roman"/>
          <w:sz w:val="24"/>
          <w:szCs w:val="24"/>
        </w:rPr>
        <w:t xml:space="preserve"> (legge 190/2012), per gli atti soggetti a pubblicità legale </w:t>
      </w:r>
      <w:r w:rsidRPr="0029310E">
        <w:rPr>
          <w:rFonts w:ascii="Times New Roman" w:hAnsi="Times New Roman" w:cs="Times New Roman"/>
          <w:b/>
          <w:sz w:val="24"/>
          <w:szCs w:val="24"/>
        </w:rPr>
        <w:t>all’albo pretorio on line</w:t>
      </w:r>
      <w:r w:rsidRPr="0029310E">
        <w:rPr>
          <w:rFonts w:ascii="Times New Roman" w:hAnsi="Times New Roman" w:cs="Times New Roman"/>
          <w:sz w:val="24"/>
          <w:szCs w:val="24"/>
        </w:rPr>
        <w:t>, nei casi in cui tali atti rientrino nelle categorie per le quali l’obbligo è previsto dalle legge, rimane invariato anche l’obbligo di pubblicazione in altre sezioni del sito istituzionale, nonché nell’apposita sezione “</w:t>
      </w:r>
      <w:r w:rsidRPr="0029310E">
        <w:rPr>
          <w:rFonts w:ascii="Times New Roman" w:hAnsi="Times New Roman" w:cs="Times New Roman"/>
          <w:i/>
          <w:iCs/>
          <w:sz w:val="24"/>
          <w:szCs w:val="24"/>
        </w:rPr>
        <w:t>trasparenza, valutazione e merito</w:t>
      </w:r>
      <w:r w:rsidRPr="0029310E">
        <w:rPr>
          <w:rFonts w:ascii="Times New Roman" w:hAnsi="Times New Roman" w:cs="Times New Roman"/>
          <w:sz w:val="24"/>
          <w:szCs w:val="24"/>
        </w:rPr>
        <w:t>” (oggi “</w:t>
      </w:r>
      <w:r w:rsidRPr="0029310E">
        <w:rPr>
          <w:rFonts w:ascii="Times New Roman" w:hAnsi="Times New Roman" w:cs="Times New Roman"/>
          <w:i/>
          <w:iCs/>
          <w:sz w:val="24"/>
          <w:szCs w:val="24"/>
        </w:rPr>
        <w:t>amministrazione trasparente</w:t>
      </w:r>
      <w:r w:rsidRPr="0029310E">
        <w:rPr>
          <w:rFonts w:ascii="Times New Roman" w:hAnsi="Times New Roman" w:cs="Times New Roman"/>
          <w:sz w:val="24"/>
          <w:szCs w:val="24"/>
        </w:rPr>
        <w:t xml:space="preserve">”).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L’ente è munito di </w:t>
      </w:r>
      <w:r w:rsidRPr="0029310E">
        <w:rPr>
          <w:rFonts w:ascii="Times New Roman" w:hAnsi="Times New Roman" w:cs="Times New Roman"/>
          <w:b/>
          <w:sz w:val="24"/>
          <w:szCs w:val="24"/>
        </w:rPr>
        <w:t>posta elettronica</w:t>
      </w:r>
      <w:r w:rsidRPr="0029310E">
        <w:rPr>
          <w:rFonts w:ascii="Times New Roman" w:hAnsi="Times New Roman" w:cs="Times New Roman"/>
          <w:sz w:val="24"/>
          <w:szCs w:val="24"/>
        </w:rPr>
        <w:t xml:space="preserve"> ordinaria e certificata.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Sul sito web, nella </w:t>
      </w:r>
      <w:r w:rsidRPr="0029310E">
        <w:rPr>
          <w:rFonts w:ascii="Times New Roman" w:hAnsi="Times New Roman" w:cs="Times New Roman"/>
          <w:i/>
          <w:iCs/>
          <w:sz w:val="24"/>
          <w:szCs w:val="24"/>
        </w:rPr>
        <w:t>home page</w:t>
      </w:r>
      <w:r w:rsidRPr="0029310E">
        <w:rPr>
          <w:rFonts w:ascii="Times New Roman" w:hAnsi="Times New Roman" w:cs="Times New Roman"/>
          <w:sz w:val="24"/>
          <w:szCs w:val="24"/>
        </w:rPr>
        <w:t xml:space="preserve">, è riportato l’indirizzo PEC istituzionale. Nelle sezioni dedicate alle ripartizioni organizzative sono indicati gli indirizzi di posta elettronica ordinaria di ciascun ufficio, nonché gli altri consueti recapiti (telefono, fax, ecc.). </w:t>
      </w:r>
    </w:p>
    <w:bookmarkEnd w:id="8"/>
    <w:p w:rsidR="00C064DD" w:rsidRPr="0029310E" w:rsidRDefault="00C064DD" w:rsidP="002E726F">
      <w:pPr>
        <w:pStyle w:val="Nessunaspaziatura1"/>
        <w:jc w:val="both"/>
        <w:rPr>
          <w:rFonts w:ascii="Times New Roman" w:hAnsi="Times New Roman"/>
          <w:b/>
          <w:sz w:val="24"/>
          <w:szCs w:val="24"/>
        </w:rPr>
      </w:pPr>
    </w:p>
    <w:p w:rsidR="00C064DD" w:rsidRPr="0029310E" w:rsidRDefault="00C064DD" w:rsidP="002E726F">
      <w:pPr>
        <w:pStyle w:val="Nessunaspaziatura1"/>
        <w:jc w:val="both"/>
        <w:rPr>
          <w:rFonts w:ascii="Times New Roman" w:hAnsi="Times New Roman"/>
          <w:b/>
          <w:sz w:val="24"/>
          <w:szCs w:val="24"/>
        </w:rPr>
      </w:pPr>
      <w:r w:rsidRPr="0029310E">
        <w:rPr>
          <w:rFonts w:ascii="Times New Roman" w:hAnsi="Times New Roman"/>
          <w:b/>
          <w:sz w:val="24"/>
          <w:szCs w:val="24"/>
        </w:rPr>
        <w:t>5.1. Informatizzazione dei procedimenti e processi</w:t>
      </w:r>
    </w:p>
    <w:p w:rsidR="00C064DD" w:rsidRPr="0029310E" w:rsidRDefault="00C064DD" w:rsidP="002E726F">
      <w:pPr>
        <w:pStyle w:val="Nessunaspaziatura1"/>
        <w:jc w:val="both"/>
        <w:rPr>
          <w:rFonts w:ascii="Times New Roman" w:hAnsi="Times New Roman"/>
          <w:sz w:val="24"/>
          <w:szCs w:val="24"/>
        </w:rPr>
      </w:pP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Nel corso del triennio si dovranno prevedere, compatibilmente con le risorse di bilancio,  iniziative di automazione informatica dei processi per la pubblicazione dei dati richiesti;</w:t>
      </w:r>
    </w:p>
    <w:p w:rsidR="00C064DD" w:rsidRPr="0029310E" w:rsidRDefault="00C064DD" w:rsidP="002E726F">
      <w:pPr>
        <w:pStyle w:val="Nessunaspaziatura1"/>
        <w:jc w:val="both"/>
        <w:rPr>
          <w:rFonts w:ascii="Times New Roman" w:hAnsi="Times New Roman"/>
          <w:b/>
          <w:sz w:val="24"/>
          <w:szCs w:val="24"/>
        </w:rPr>
      </w:pPr>
    </w:p>
    <w:p w:rsidR="00C064DD" w:rsidRPr="0029310E" w:rsidRDefault="00C064DD" w:rsidP="002E726F">
      <w:pPr>
        <w:pStyle w:val="Nessunaspaziatura1"/>
        <w:jc w:val="both"/>
        <w:rPr>
          <w:rFonts w:ascii="Times New Roman" w:hAnsi="Times New Roman"/>
          <w:b/>
          <w:sz w:val="24"/>
          <w:szCs w:val="24"/>
        </w:rPr>
      </w:pPr>
      <w:r w:rsidRPr="0029310E">
        <w:rPr>
          <w:rFonts w:ascii="Times New Roman" w:hAnsi="Times New Roman"/>
          <w:b/>
          <w:sz w:val="24"/>
          <w:szCs w:val="24"/>
        </w:rPr>
        <w:t xml:space="preserve">5.2. Incontri con la cittadinanza </w:t>
      </w:r>
    </w:p>
    <w:p w:rsidR="00C064DD" w:rsidRPr="0029310E" w:rsidRDefault="00C064DD" w:rsidP="002E726F">
      <w:pPr>
        <w:pStyle w:val="Nessunaspaziatura1"/>
        <w:jc w:val="both"/>
        <w:rPr>
          <w:rFonts w:ascii="Times New Roman" w:hAnsi="Times New Roman"/>
          <w:sz w:val="24"/>
          <w:szCs w:val="24"/>
        </w:rPr>
      </w:pP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xml:space="preserve">Per quanto concerne lo sviluppo della legalità, l’amministrazione compatibilmente con le ridotte dimensioni del Comune e del numero di dipendenti, promuove occasioni conoscitive e di confronto con la cittadinanza che possano contribuire a far crescere nella società civile, oltre alla conoscenza delle attività svolte e delle iniziative intraprese, una consapevolezza ed una cultura della legalità sostanziale. </w:t>
      </w:r>
    </w:p>
    <w:p w:rsidR="00C064DD" w:rsidRPr="0029310E" w:rsidRDefault="00C064DD" w:rsidP="002E726F">
      <w:pPr>
        <w:pStyle w:val="Nessunaspaziatura1"/>
        <w:jc w:val="both"/>
        <w:rPr>
          <w:rFonts w:ascii="Times New Roman" w:hAnsi="Times New Roman"/>
          <w:b/>
          <w:bCs/>
          <w:sz w:val="24"/>
          <w:szCs w:val="24"/>
        </w:rPr>
      </w:pP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b/>
          <w:bCs/>
          <w:sz w:val="24"/>
          <w:szCs w:val="24"/>
        </w:rPr>
        <w:t>5.3. Ascolto degli stakeholders</w:t>
      </w:r>
    </w:p>
    <w:p w:rsidR="00C064DD" w:rsidRPr="0029310E" w:rsidRDefault="00C064DD" w:rsidP="002E726F">
      <w:pPr>
        <w:pStyle w:val="Nessunaspaziatura1"/>
        <w:jc w:val="both"/>
        <w:rPr>
          <w:rFonts w:ascii="Times New Roman" w:hAnsi="Times New Roman"/>
          <w:sz w:val="24"/>
          <w:szCs w:val="24"/>
        </w:rPr>
      </w:pP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xml:space="preserve">Come in passato, sarà massima l’attenzione dedicata all’analisi delle critiche, dei reclami e dei suggerimenti che vengono dalla cittadinanza, in qualsiasi forma e con qualunque modalità. </w:t>
      </w:r>
    </w:p>
    <w:p w:rsidR="00C064DD" w:rsidRPr="0029310E" w:rsidRDefault="00C064DD" w:rsidP="002E726F">
      <w:pPr>
        <w:pStyle w:val="Nessunaspaziatura1"/>
        <w:jc w:val="both"/>
        <w:rPr>
          <w:rFonts w:ascii="Times New Roman" w:hAnsi="Times New Roman"/>
          <w:sz w:val="24"/>
          <w:szCs w:val="24"/>
        </w:rPr>
      </w:pPr>
      <w:r w:rsidRPr="0029310E">
        <w:rPr>
          <w:rFonts w:ascii="Times New Roman" w:hAnsi="Times New Roman"/>
          <w:sz w:val="24"/>
          <w:szCs w:val="24"/>
        </w:rPr>
        <w:t xml:space="preserve">Per queste finalità sul sito web, nella </w:t>
      </w:r>
      <w:r w:rsidRPr="0029310E">
        <w:rPr>
          <w:rFonts w:ascii="Times New Roman" w:hAnsi="Times New Roman"/>
          <w:i/>
          <w:iCs/>
          <w:sz w:val="24"/>
          <w:szCs w:val="24"/>
        </w:rPr>
        <w:t>home page</w:t>
      </w:r>
      <w:r w:rsidRPr="0029310E">
        <w:rPr>
          <w:rFonts w:ascii="Times New Roman" w:hAnsi="Times New Roman"/>
          <w:sz w:val="24"/>
          <w:szCs w:val="24"/>
        </w:rPr>
        <w:t xml:space="preserve">, è riportato l’indirizzo PEC istituzionale che può essere liberamente utilizzato per comunicare con l’ente. Inoltre, nelle sezioni dedicate alle ripartizioni organizzative sono indicati gli indirizzi di posta elettronica ordinaria di ciascun ufficio, nonché gli altri consueti recapiti (telefono, fax, ecc.). </w:t>
      </w:r>
    </w:p>
    <w:p w:rsidR="00C064DD" w:rsidRPr="0029310E" w:rsidRDefault="00C064DD" w:rsidP="002E726F">
      <w:pPr>
        <w:keepNext/>
        <w:widowControl w:val="0"/>
        <w:spacing w:after="0"/>
        <w:jc w:val="both"/>
        <w:outlineLvl w:val="1"/>
        <w:rPr>
          <w:rFonts w:ascii="Times New Roman" w:hAnsi="Times New Roman"/>
          <w:b/>
          <w:sz w:val="24"/>
          <w:szCs w:val="24"/>
        </w:rPr>
      </w:pPr>
    </w:p>
    <w:p w:rsidR="00C064DD" w:rsidRPr="0029310E" w:rsidRDefault="00C064DD" w:rsidP="002E726F">
      <w:pPr>
        <w:keepNext/>
        <w:widowControl w:val="0"/>
        <w:spacing w:after="0"/>
        <w:jc w:val="both"/>
        <w:outlineLvl w:val="1"/>
        <w:rPr>
          <w:rFonts w:ascii="Times New Roman" w:hAnsi="Times New Roman"/>
          <w:b/>
          <w:bCs/>
          <w:sz w:val="24"/>
          <w:szCs w:val="24"/>
        </w:rPr>
      </w:pPr>
      <w:r w:rsidRPr="0029310E">
        <w:rPr>
          <w:rFonts w:ascii="Times New Roman" w:hAnsi="Times New Roman"/>
          <w:b/>
          <w:sz w:val="24"/>
          <w:szCs w:val="24"/>
        </w:rPr>
        <w:t>6. A</w:t>
      </w:r>
      <w:r w:rsidRPr="0029310E">
        <w:rPr>
          <w:rFonts w:ascii="Times New Roman" w:hAnsi="Times New Roman"/>
          <w:b/>
          <w:bCs/>
          <w:sz w:val="24"/>
          <w:szCs w:val="24"/>
        </w:rPr>
        <w:t xml:space="preserve">TTUAZIONE </w:t>
      </w:r>
    </w:p>
    <w:p w:rsidR="00C064DD" w:rsidRPr="0029310E" w:rsidRDefault="00C064DD" w:rsidP="002E726F">
      <w:pPr>
        <w:keepNext/>
        <w:widowControl w:val="0"/>
        <w:spacing w:after="0"/>
        <w:jc w:val="both"/>
        <w:outlineLvl w:val="1"/>
        <w:rPr>
          <w:rFonts w:ascii="Times New Roman" w:hAnsi="Times New Roman"/>
          <w:b/>
          <w:bCs/>
          <w:sz w:val="24"/>
          <w:szCs w:val="24"/>
        </w:rPr>
      </w:pP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L’allegato A del decreto legislativo 33/2013 disciplina la </w:t>
      </w:r>
      <w:r w:rsidRPr="0029310E">
        <w:rPr>
          <w:rFonts w:ascii="Times New Roman" w:hAnsi="Times New Roman" w:cs="Times New Roman"/>
          <w:iCs/>
          <w:sz w:val="24"/>
          <w:szCs w:val="24"/>
        </w:rPr>
        <w:t xml:space="preserve">struttura delle informazioni da pubblicarsi sui siti istituzionali </w:t>
      </w:r>
      <w:r w:rsidRPr="0029310E">
        <w:rPr>
          <w:rFonts w:ascii="Times New Roman" w:hAnsi="Times New Roman" w:cs="Times New Roman"/>
          <w:sz w:val="24"/>
          <w:szCs w:val="24"/>
        </w:rPr>
        <w:t xml:space="preserve">delle pubbliche amministrazioni.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Il legislatore ha organizzato in </w:t>
      </w:r>
      <w:r w:rsidRPr="0029310E">
        <w:rPr>
          <w:rFonts w:ascii="Times New Roman" w:hAnsi="Times New Roman" w:cs="Times New Roman"/>
          <w:i/>
          <w:iCs/>
          <w:sz w:val="24"/>
          <w:szCs w:val="24"/>
        </w:rPr>
        <w:t>sotto-sezioni di primo e di secondo livello</w:t>
      </w:r>
      <w:r w:rsidRPr="0029310E">
        <w:rPr>
          <w:rFonts w:ascii="Times New Roman" w:hAnsi="Times New Roman" w:cs="Times New Roman"/>
          <w:sz w:val="24"/>
          <w:szCs w:val="24"/>
        </w:rPr>
        <w:t xml:space="preserve"> le informazioni, i documenti ed i dati da pubblicare obbligatoriamente nella sezione «</w:t>
      </w:r>
      <w:r w:rsidRPr="0029310E">
        <w:rPr>
          <w:rFonts w:ascii="Times New Roman" w:hAnsi="Times New Roman" w:cs="Times New Roman"/>
          <w:i/>
          <w:sz w:val="24"/>
          <w:szCs w:val="24"/>
        </w:rPr>
        <w:t>Amministrazione trasparente</w:t>
      </w:r>
      <w:r w:rsidRPr="0029310E">
        <w:rPr>
          <w:rFonts w:ascii="Times New Roman" w:hAnsi="Times New Roman" w:cs="Times New Roman"/>
          <w:sz w:val="24"/>
          <w:szCs w:val="24"/>
        </w:rPr>
        <w:t xml:space="preserve">» del sito web. </w:t>
      </w: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Le sotto-sezioni devono essere denominate esattamente come indicato in nell’allegato A del decreto 33/2013. </w:t>
      </w:r>
    </w:p>
    <w:p w:rsidR="00C064DD" w:rsidRPr="0029310E" w:rsidRDefault="00C064DD" w:rsidP="004E6BF2">
      <w:pPr>
        <w:jc w:val="both"/>
        <w:rPr>
          <w:rFonts w:ascii="Times New Roman" w:hAnsi="Times New Roman"/>
          <w:sz w:val="24"/>
          <w:szCs w:val="24"/>
        </w:rPr>
      </w:pPr>
      <w:r w:rsidRPr="0029310E">
        <w:rPr>
          <w:rFonts w:ascii="Times New Roman" w:hAnsi="Times New Roman"/>
          <w:sz w:val="24"/>
          <w:szCs w:val="24"/>
        </w:rPr>
        <w:lastRenderedPageBreak/>
        <w:t xml:space="preserve">Le tabelle riportate nelle pagine che seguono, sono state elaborate sulla base delle indicazioni contenute nel suddetto allegato del decreto 33/2013 e delle “linee guida” fornite dall’Autorità in particolare con la  deliberazione la delibera n. 1310/2016 avente ad oggetto </w:t>
      </w:r>
      <w:r w:rsidRPr="0029310E">
        <w:rPr>
          <w:rFonts w:ascii="Times New Roman" w:hAnsi="Times New Roman"/>
          <w:i/>
          <w:iCs/>
          <w:sz w:val="24"/>
          <w:szCs w:val="24"/>
        </w:rPr>
        <w:t>«Prime linee guida recanti indicazioni sull’attuazione degli obblighi di pubblicità, trasparenza e diffusione di informazioni contenute nel d.lgs.33/2013 come modificato dal d.lgs. 97/2016»</w:t>
      </w:r>
    </w:p>
    <w:p w:rsidR="00C064DD" w:rsidRPr="0029310E" w:rsidRDefault="00C064DD" w:rsidP="002E726F">
      <w:pPr>
        <w:keepNext/>
        <w:widowControl w:val="0"/>
        <w:spacing w:after="0"/>
        <w:jc w:val="both"/>
        <w:outlineLvl w:val="1"/>
        <w:rPr>
          <w:rFonts w:ascii="Times New Roman" w:hAnsi="Times New Roman"/>
          <w:b/>
          <w:sz w:val="24"/>
          <w:szCs w:val="24"/>
        </w:rPr>
      </w:pPr>
    </w:p>
    <w:p w:rsidR="00C064DD" w:rsidRPr="0029310E" w:rsidRDefault="00C064DD" w:rsidP="002E726F">
      <w:pPr>
        <w:keepNext/>
        <w:widowControl w:val="0"/>
        <w:spacing w:after="0"/>
        <w:jc w:val="both"/>
        <w:outlineLvl w:val="1"/>
        <w:rPr>
          <w:rFonts w:ascii="Times New Roman" w:hAnsi="Times New Roman"/>
          <w:b/>
          <w:sz w:val="24"/>
          <w:szCs w:val="24"/>
        </w:rPr>
      </w:pPr>
      <w:r w:rsidRPr="0029310E">
        <w:rPr>
          <w:rFonts w:ascii="Times New Roman" w:hAnsi="Times New Roman"/>
          <w:b/>
          <w:sz w:val="24"/>
          <w:szCs w:val="24"/>
        </w:rPr>
        <w:t xml:space="preserve">6.1. Tabelle </w:t>
      </w:r>
    </w:p>
    <w:p w:rsidR="00C064DD" w:rsidRPr="0029310E" w:rsidRDefault="00C064DD" w:rsidP="002E726F">
      <w:pPr>
        <w:pStyle w:val="Corpotesto"/>
        <w:jc w:val="both"/>
        <w:rPr>
          <w:rFonts w:ascii="Times New Roman" w:hAnsi="Times New Roman" w:cs="Times New Roman"/>
          <w:sz w:val="24"/>
          <w:szCs w:val="24"/>
        </w:rPr>
      </w:pPr>
    </w:p>
    <w:p w:rsidR="00C064DD" w:rsidRPr="0029310E" w:rsidRDefault="00C064DD" w:rsidP="002E726F">
      <w:pPr>
        <w:pStyle w:val="Corpotesto"/>
        <w:jc w:val="both"/>
        <w:rPr>
          <w:rFonts w:ascii="Times New Roman" w:hAnsi="Times New Roman" w:cs="Times New Roman"/>
          <w:sz w:val="24"/>
          <w:szCs w:val="24"/>
        </w:rPr>
      </w:pPr>
      <w:r w:rsidRPr="0029310E">
        <w:rPr>
          <w:rFonts w:ascii="Times New Roman" w:hAnsi="Times New Roman" w:cs="Times New Roman"/>
          <w:sz w:val="24"/>
          <w:szCs w:val="24"/>
        </w:rPr>
        <w:t xml:space="preserve">Le tabelle allegato (ALLEGATO C), presentate nel punto 4, sono composte da sette colonne, che recano i dati seguenti: </w:t>
      </w:r>
    </w:p>
    <w:p w:rsidR="00C064DD" w:rsidRPr="0029310E"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 xml:space="preserve">Colonna A: denominazione delle sotto-sezioni di primo livello; </w:t>
      </w:r>
    </w:p>
    <w:p w:rsidR="00C064DD" w:rsidRPr="0029310E"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 xml:space="preserve">Colonna B: denominazione delle sotto-sezioni di secondo livello; </w:t>
      </w:r>
    </w:p>
    <w:p w:rsidR="00C064DD" w:rsidRPr="0029310E"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 xml:space="preserve">Colonna C: disposizioni normative, aggiornati al d.lgs. 97/2016, che impongono la pubblicazione;  </w:t>
      </w:r>
    </w:p>
    <w:p w:rsidR="00C064DD" w:rsidRPr="0029310E"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 xml:space="preserve">Colonna D: denominazione del singolo obbligo di pubblicazione; </w:t>
      </w:r>
    </w:p>
    <w:p w:rsidR="00C064DD" w:rsidRPr="0029310E"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 xml:space="preserve">Colonna E: contenuti dell’obbligo (documenti, dati e informazioni da pubblicare in ciascuna sotto-sezione secondo le linee guida di ANAC); </w:t>
      </w:r>
    </w:p>
    <w:p w:rsidR="00C064DD" w:rsidRPr="0029310E"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 xml:space="preserve">Colonna F: periodicità di aggiornamento delle pubblicazioni; </w:t>
      </w:r>
    </w:p>
    <w:p w:rsidR="00C064DD" w:rsidRPr="00DB2FCB" w:rsidRDefault="00C064DD" w:rsidP="002E726F">
      <w:pPr>
        <w:pStyle w:val="Corpotesto"/>
        <w:shd w:val="clear" w:color="auto" w:fill="D9D9D9"/>
        <w:spacing w:before="120"/>
        <w:jc w:val="both"/>
        <w:rPr>
          <w:rFonts w:ascii="Times New Roman" w:hAnsi="Times New Roman" w:cs="Times New Roman"/>
          <w:sz w:val="24"/>
          <w:szCs w:val="24"/>
        </w:rPr>
      </w:pPr>
      <w:r w:rsidRPr="0029310E">
        <w:rPr>
          <w:rFonts w:ascii="Times New Roman" w:hAnsi="Times New Roman" w:cs="Times New Roman"/>
          <w:sz w:val="24"/>
          <w:szCs w:val="24"/>
        </w:rPr>
        <w:t>Colonna G: ufficio responsabile della pubblicazione dei dati, delle informazioni e dei documenti previsti nella colonna E secondo la periodicità prevista in colonna F.</w:t>
      </w:r>
      <w:r w:rsidRPr="00DB2FCB">
        <w:rPr>
          <w:rFonts w:ascii="Times New Roman" w:hAnsi="Times New Roman" w:cs="Times New Roman"/>
          <w:sz w:val="24"/>
          <w:szCs w:val="24"/>
        </w:rPr>
        <w:t xml:space="preserve"> </w:t>
      </w:r>
    </w:p>
    <w:p w:rsidR="00C064DD" w:rsidRDefault="00C064DD" w:rsidP="0037688C">
      <w:pPr>
        <w:pStyle w:val="Default"/>
        <w:jc w:val="both"/>
        <w:rPr>
          <w:color w:val="auto"/>
          <w:sz w:val="23"/>
          <w:szCs w:val="23"/>
        </w:rPr>
      </w:pPr>
    </w:p>
    <w:p w:rsidR="00C064DD" w:rsidRDefault="00C064DD" w:rsidP="0037688C">
      <w:pPr>
        <w:pStyle w:val="Default"/>
        <w:jc w:val="both"/>
        <w:rPr>
          <w:color w:val="auto"/>
          <w:sz w:val="23"/>
          <w:szCs w:val="23"/>
        </w:rPr>
      </w:pPr>
    </w:p>
    <w:p w:rsidR="00C064DD" w:rsidRDefault="00C064DD" w:rsidP="0037688C">
      <w:pPr>
        <w:pStyle w:val="Default"/>
        <w:jc w:val="both"/>
        <w:rPr>
          <w:color w:val="auto"/>
          <w:sz w:val="23"/>
          <w:szCs w:val="23"/>
        </w:rPr>
      </w:pPr>
    </w:p>
    <w:p w:rsidR="00C064DD" w:rsidRDefault="00C064DD" w:rsidP="0037688C">
      <w:pPr>
        <w:pStyle w:val="Default"/>
        <w:jc w:val="both"/>
        <w:rPr>
          <w:color w:val="auto"/>
          <w:sz w:val="23"/>
          <w:szCs w:val="23"/>
        </w:rPr>
      </w:pPr>
    </w:p>
    <w:p w:rsidR="00C064DD" w:rsidRDefault="00C064DD" w:rsidP="0037688C">
      <w:pPr>
        <w:pStyle w:val="Default"/>
        <w:jc w:val="both"/>
        <w:rPr>
          <w:color w:val="auto"/>
          <w:sz w:val="23"/>
          <w:szCs w:val="23"/>
        </w:rPr>
      </w:pPr>
    </w:p>
    <w:p w:rsidR="00C064DD" w:rsidRDefault="00C064DD" w:rsidP="0037688C">
      <w:pPr>
        <w:pStyle w:val="Default"/>
        <w:jc w:val="both"/>
        <w:rPr>
          <w:color w:val="auto"/>
          <w:sz w:val="23"/>
          <w:szCs w:val="23"/>
        </w:rPr>
      </w:pPr>
    </w:p>
    <w:p w:rsidR="00C064DD" w:rsidRDefault="00C064DD" w:rsidP="0037688C">
      <w:pPr>
        <w:autoSpaceDE w:val="0"/>
        <w:autoSpaceDN w:val="0"/>
        <w:adjustRightInd w:val="0"/>
        <w:spacing w:after="0" w:line="240" w:lineRule="auto"/>
        <w:jc w:val="both"/>
        <w:rPr>
          <w:rFonts w:ascii="TT34o00" w:hAnsi="TT34o00" w:cs="TT34o00"/>
          <w:color w:val="000000"/>
          <w:sz w:val="24"/>
          <w:szCs w:val="24"/>
        </w:rPr>
      </w:pPr>
    </w:p>
    <w:sectPr w:rsidR="00C064DD" w:rsidSect="00304FA9">
      <w:headerReference w:type="default" r:id="rId8"/>
      <w:footerReference w:type="even"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64DD" w:rsidRDefault="00C064DD" w:rsidP="0037688C">
      <w:pPr>
        <w:spacing w:after="0" w:line="240" w:lineRule="auto"/>
      </w:pPr>
      <w:r>
        <w:separator/>
      </w:r>
    </w:p>
  </w:endnote>
  <w:endnote w:type="continuationSeparator" w:id="0">
    <w:p w:rsidR="00C064DD" w:rsidRDefault="00C064DD" w:rsidP="003768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aramond">
    <w:altName w:val="Garamond"/>
    <w:panose1 w:val="02020404030301010803"/>
    <w:charset w:val="00"/>
    <w:family w:val="roman"/>
    <w:pitch w:val="variable"/>
    <w:sig w:usb0="00000287" w:usb1="00000000" w:usb2="00000000" w:usb3="00000000" w:csb0="0000009F" w:csb1="00000000"/>
  </w:font>
  <w:font w:name="Angsana New">
    <w:panose1 w:val="02020603050405020304"/>
    <w:charset w:val="DE"/>
    <w:family w:val="roman"/>
    <w:notTrueType/>
    <w:pitch w:val="variable"/>
    <w:sig w:usb0="01000003" w:usb1="00000000" w:usb2="00000000" w:usb3="00000000" w:csb0="00010001" w:csb1="00000000"/>
  </w:font>
  <w:font w:name="Georgia">
    <w:panose1 w:val="02040502050405020303"/>
    <w:charset w:val="00"/>
    <w:family w:val="roman"/>
    <w:pitch w:val="variable"/>
    <w:sig w:usb0="00000287" w:usb1="00000000" w:usb2="00000000" w:usb3="00000000" w:csb0="0000009F" w:csb1="00000000"/>
  </w:font>
  <w:font w:name="TT3Eo00">
    <w:altName w:val="Calibri"/>
    <w:panose1 w:val="00000000000000000000"/>
    <w:charset w:val="00"/>
    <w:family w:val="auto"/>
    <w:notTrueType/>
    <w:pitch w:val="default"/>
    <w:sig w:usb0="00000003" w:usb1="00000000" w:usb2="00000000" w:usb3="00000000" w:csb0="00000001" w:csb1="00000000"/>
  </w:font>
  <w:font w:name="TT41o00">
    <w:altName w:val="Calibri"/>
    <w:panose1 w:val="00000000000000000000"/>
    <w:charset w:val="00"/>
    <w:family w:val="auto"/>
    <w:notTrueType/>
    <w:pitch w:val="default"/>
    <w:sig w:usb0="00000003" w:usb1="00000000" w:usb2="00000000" w:usb3="00000000" w:csb0="00000001" w:csb1="00000000"/>
  </w:font>
  <w:font w:name="TT32o00">
    <w:altName w:val="Calibri"/>
    <w:panose1 w:val="00000000000000000000"/>
    <w:charset w:val="00"/>
    <w:family w:val="auto"/>
    <w:notTrueType/>
    <w:pitch w:val="default"/>
    <w:sig w:usb0="00000003" w:usb1="00000000" w:usb2="00000000" w:usb3="00000000" w:csb0="00000001" w:csb1="00000000"/>
  </w:font>
  <w:font w:name="TT34o00">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64DD" w:rsidRDefault="00C064DD">
    <w:pPr>
      <w:pStyle w:val="Style3"/>
      <w:widowControl/>
      <w:ind w:left="-1070"/>
      <w:jc w:val="right"/>
      <w:rPr>
        <w:rStyle w:val="FontStyle101"/>
        <w:rFonts w:cs="Garamond"/>
        <w:szCs w:val="26"/>
      </w:rPr>
    </w:pPr>
    <w:r>
      <w:rPr>
        <w:rStyle w:val="FontStyle101"/>
        <w:rFonts w:cs="Garamond"/>
        <w:szCs w:val="26"/>
      </w:rPr>
      <w:fldChar w:fldCharType="begin"/>
    </w:r>
    <w:r>
      <w:rPr>
        <w:rStyle w:val="FontStyle101"/>
        <w:rFonts w:cs="Garamond"/>
        <w:szCs w:val="26"/>
      </w:rPr>
      <w:instrText>PAGE</w:instrText>
    </w:r>
    <w:r>
      <w:rPr>
        <w:rStyle w:val="FontStyle101"/>
        <w:rFonts w:cs="Garamond"/>
        <w:szCs w:val="26"/>
      </w:rPr>
      <w:fldChar w:fldCharType="separate"/>
    </w:r>
    <w:r>
      <w:rPr>
        <w:rStyle w:val="FontStyle101"/>
        <w:rFonts w:cs="Garamond"/>
        <w:noProof/>
        <w:szCs w:val="26"/>
      </w:rPr>
      <w:t>38</w:t>
    </w:r>
    <w:r>
      <w:rPr>
        <w:rStyle w:val="FontStyle101"/>
        <w:rFonts w:cs="Garamond"/>
        <w:szCs w:val="2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tblpY="1"/>
      <w:tblW w:w="5000" w:type="pct"/>
      <w:tblLook w:val="00A0" w:firstRow="1" w:lastRow="0" w:firstColumn="1" w:lastColumn="0" w:noHBand="0" w:noVBand="0"/>
    </w:tblPr>
    <w:tblGrid>
      <w:gridCol w:w="4435"/>
      <w:gridCol w:w="985"/>
      <w:gridCol w:w="4434"/>
    </w:tblGrid>
    <w:tr w:rsidR="00C064DD" w:rsidTr="008434A7">
      <w:trPr>
        <w:trHeight w:val="151"/>
      </w:trPr>
      <w:tc>
        <w:tcPr>
          <w:tcW w:w="2250" w:type="pct"/>
          <w:tcBorders>
            <w:bottom w:val="single" w:sz="4" w:space="0" w:color="4F81BD"/>
          </w:tcBorders>
        </w:tcPr>
        <w:p w:rsidR="00C064DD" w:rsidRPr="00870142" w:rsidRDefault="00C064DD">
          <w:pPr>
            <w:pStyle w:val="Intestazione"/>
            <w:rPr>
              <w:rFonts w:ascii="Cambria" w:hAnsi="Cambria"/>
              <w:b/>
              <w:bCs/>
              <w:szCs w:val="24"/>
            </w:rPr>
          </w:pPr>
        </w:p>
      </w:tc>
      <w:tc>
        <w:tcPr>
          <w:tcW w:w="500" w:type="pct"/>
          <w:vMerge w:val="restart"/>
          <w:noWrap/>
          <w:vAlign w:val="center"/>
        </w:tcPr>
        <w:p w:rsidR="00C064DD" w:rsidRPr="00A44EB4" w:rsidRDefault="00C064DD">
          <w:pPr>
            <w:pStyle w:val="Nessunaspaziatura2"/>
            <w:rPr>
              <w:rFonts w:ascii="Arial" w:hAnsi="Arial" w:cs="Arial"/>
              <w:sz w:val="16"/>
              <w:szCs w:val="16"/>
            </w:rPr>
          </w:pPr>
          <w:r>
            <w:rPr>
              <w:rFonts w:ascii="Arial" w:hAnsi="Arial" w:cs="Arial"/>
              <w:bCs/>
              <w:sz w:val="16"/>
              <w:szCs w:val="16"/>
            </w:rPr>
            <w:t xml:space="preserve"> </w:t>
          </w:r>
        </w:p>
      </w:tc>
      <w:tc>
        <w:tcPr>
          <w:tcW w:w="2250" w:type="pct"/>
          <w:tcBorders>
            <w:bottom w:val="single" w:sz="4" w:space="0" w:color="4F81BD"/>
          </w:tcBorders>
        </w:tcPr>
        <w:p w:rsidR="00C064DD" w:rsidRPr="00870142" w:rsidRDefault="00C064DD">
          <w:pPr>
            <w:pStyle w:val="Intestazione"/>
            <w:rPr>
              <w:rFonts w:ascii="Cambria" w:hAnsi="Cambria"/>
              <w:b/>
              <w:bCs/>
              <w:szCs w:val="24"/>
            </w:rPr>
          </w:pPr>
        </w:p>
      </w:tc>
    </w:tr>
    <w:tr w:rsidR="00C064DD" w:rsidTr="008434A7">
      <w:trPr>
        <w:trHeight w:val="150"/>
      </w:trPr>
      <w:tc>
        <w:tcPr>
          <w:tcW w:w="2250" w:type="pct"/>
          <w:tcBorders>
            <w:top w:val="single" w:sz="4" w:space="0" w:color="4F81BD"/>
          </w:tcBorders>
        </w:tcPr>
        <w:p w:rsidR="00C064DD" w:rsidRPr="00870142" w:rsidRDefault="00C064DD">
          <w:pPr>
            <w:pStyle w:val="Intestazione"/>
            <w:rPr>
              <w:rFonts w:ascii="Cambria" w:hAnsi="Cambria"/>
              <w:b/>
              <w:bCs/>
              <w:szCs w:val="24"/>
            </w:rPr>
          </w:pPr>
        </w:p>
      </w:tc>
      <w:tc>
        <w:tcPr>
          <w:tcW w:w="500" w:type="pct"/>
          <w:vMerge/>
        </w:tcPr>
        <w:p w:rsidR="00C064DD" w:rsidRPr="00870142" w:rsidRDefault="00C064DD">
          <w:pPr>
            <w:pStyle w:val="Intestazione"/>
            <w:jc w:val="center"/>
            <w:rPr>
              <w:rFonts w:ascii="Cambria" w:hAnsi="Cambria"/>
              <w:b/>
              <w:bCs/>
              <w:szCs w:val="24"/>
            </w:rPr>
          </w:pPr>
        </w:p>
      </w:tc>
      <w:tc>
        <w:tcPr>
          <w:tcW w:w="2250" w:type="pct"/>
          <w:tcBorders>
            <w:top w:val="single" w:sz="4" w:space="0" w:color="4F81BD"/>
          </w:tcBorders>
        </w:tcPr>
        <w:p w:rsidR="00C064DD" w:rsidRPr="00870142" w:rsidRDefault="00C064DD">
          <w:pPr>
            <w:pStyle w:val="Intestazione"/>
            <w:rPr>
              <w:rFonts w:ascii="Cambria" w:hAnsi="Cambria"/>
              <w:b/>
              <w:bCs/>
              <w:szCs w:val="24"/>
            </w:rPr>
          </w:pPr>
        </w:p>
      </w:tc>
    </w:tr>
  </w:tbl>
  <w:p w:rsidR="00C064DD" w:rsidRDefault="00C064DD">
    <w:pPr>
      <w:pStyle w:val="Style3"/>
      <w:widowControl/>
      <w:spacing w:before="187"/>
      <w:ind w:right="10"/>
      <w:jc w:val="right"/>
      <w:rPr>
        <w:rStyle w:val="FontStyle101"/>
        <w:rFonts w:cs="Garamond"/>
        <w:szCs w:val="2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64DD" w:rsidRDefault="00C064DD" w:rsidP="0037688C">
      <w:pPr>
        <w:spacing w:after="0" w:line="240" w:lineRule="auto"/>
      </w:pPr>
      <w:r>
        <w:separator/>
      </w:r>
    </w:p>
  </w:footnote>
  <w:footnote w:type="continuationSeparator" w:id="0">
    <w:p w:rsidR="00C064DD" w:rsidRDefault="00C064DD" w:rsidP="0037688C">
      <w:pPr>
        <w:spacing w:after="0" w:line="240" w:lineRule="auto"/>
      </w:pPr>
      <w:r>
        <w:continuationSeparator/>
      </w:r>
    </w:p>
  </w:footnote>
  <w:footnote w:id="1">
    <w:p w:rsidR="00C064DD" w:rsidRDefault="00C064DD" w:rsidP="0037688C">
      <w:pPr>
        <w:pStyle w:val="Testonotaapidipagina"/>
      </w:pPr>
    </w:p>
  </w:footnote>
  <w:footnote w:id="2">
    <w:p w:rsidR="00C064DD" w:rsidRDefault="00C064DD" w:rsidP="00082BC5">
      <w:pPr>
        <w:pStyle w:val="Testonotaapidipagina"/>
        <w:jc w:val="both"/>
      </w:pPr>
      <w:r w:rsidRPr="00D1203F">
        <w:rPr>
          <w:rStyle w:val="Rimandonotaapidipagina"/>
        </w:rPr>
        <w:footnoteRef/>
      </w:r>
      <w:r w:rsidRPr="00D1203F">
        <w:rPr>
          <w:rFonts w:eastAsia="SimSun"/>
          <w:bCs/>
          <w:iCs/>
        </w:rPr>
        <w:t xml:space="preserve"> L'obbligo previsto dalla  normativa vigente in capo alle</w:t>
      </w:r>
      <w:r w:rsidRPr="00D1203F">
        <w:rPr>
          <w:bCs/>
          <w:iCs/>
        </w:rPr>
        <w:t xml:space="preserve"> </w:t>
      </w:r>
      <w:r w:rsidRPr="00D1203F">
        <w:rPr>
          <w:rFonts w:eastAsia="SimSun"/>
          <w:bCs/>
          <w:iCs/>
        </w:rPr>
        <w:t>pubbliche amministrazioni di pubblicare documenti, informazioni o</w:t>
      </w:r>
      <w:r w:rsidRPr="00D1203F">
        <w:rPr>
          <w:bCs/>
          <w:iCs/>
        </w:rPr>
        <w:t xml:space="preserve"> </w:t>
      </w:r>
      <w:r w:rsidRPr="00D1203F">
        <w:rPr>
          <w:rFonts w:eastAsia="SimSun"/>
          <w:bCs/>
          <w:iCs/>
        </w:rPr>
        <w:t>dati comporta il diritto di chiunque di richiedere  i  medesimi,  nei</w:t>
      </w:r>
      <w:r w:rsidRPr="00D1203F">
        <w:rPr>
          <w:bCs/>
          <w:iCs/>
        </w:rPr>
        <w:t xml:space="preserve"> </w:t>
      </w:r>
      <w:r w:rsidRPr="00D1203F">
        <w:rPr>
          <w:rFonts w:eastAsia="SimSun"/>
          <w:bCs/>
          <w:iCs/>
        </w:rPr>
        <w:t>casi in cui sia stata omessa la loro pubblicazione</w:t>
      </w:r>
    </w:p>
  </w:footnote>
  <w:footnote w:id="3">
    <w:p w:rsidR="00C064DD" w:rsidRDefault="00C064DD" w:rsidP="00082BC5">
      <w:pPr>
        <w:pStyle w:val="PreformattatoHTML"/>
        <w:jc w:val="both"/>
      </w:pPr>
      <w:r w:rsidRPr="00D1203F">
        <w:rPr>
          <w:rStyle w:val="Rimandonotaapidipagina"/>
          <w:rFonts w:ascii="Times New Roman" w:hAnsi="Times New Roman"/>
        </w:rPr>
        <w:footnoteRef/>
      </w:r>
      <w:r w:rsidRPr="00D1203F">
        <w:rPr>
          <w:rFonts w:ascii="Times New Roman" w:hAnsi="Times New Roman" w:cs="Times New Roman"/>
        </w:rPr>
        <w:t xml:space="preserve"> </w:t>
      </w:r>
      <w:r w:rsidRPr="00D1203F">
        <w:rPr>
          <w:rFonts w:ascii="Times New Roman" w:eastAsia="SimSun" w:hAnsi="Times New Roman" w:cs="Times New Roman"/>
        </w:rPr>
        <w:t>Allo scopo di favorire forme diffuse di controllo sul</w:t>
      </w:r>
      <w:r w:rsidRPr="00D1203F">
        <w:rPr>
          <w:rFonts w:ascii="Times New Roman" w:hAnsi="Times New Roman" w:cs="Times New Roman"/>
        </w:rPr>
        <w:t xml:space="preserve"> </w:t>
      </w:r>
      <w:r w:rsidRPr="00D1203F">
        <w:rPr>
          <w:rFonts w:ascii="Times New Roman" w:eastAsia="SimSun" w:hAnsi="Times New Roman" w:cs="Times New Roman"/>
        </w:rPr>
        <w:t>perseguimento delle funzioni istituzionali e sull'utilizzo delle</w:t>
      </w:r>
      <w:r w:rsidRPr="00D1203F">
        <w:rPr>
          <w:rFonts w:ascii="Times New Roman" w:hAnsi="Times New Roman" w:cs="Times New Roman"/>
        </w:rPr>
        <w:t xml:space="preserve"> </w:t>
      </w:r>
      <w:r w:rsidRPr="00D1203F">
        <w:rPr>
          <w:rFonts w:ascii="Times New Roman" w:eastAsia="SimSun" w:hAnsi="Times New Roman" w:cs="Times New Roman"/>
          <w:bCs/>
          <w:iCs/>
        </w:rPr>
        <w:t>risorse pubbliche e di promuovere la partecipazione al dibattito</w:t>
      </w:r>
      <w:r w:rsidRPr="00D1203F">
        <w:rPr>
          <w:rFonts w:ascii="Times New Roman" w:hAnsi="Times New Roman" w:cs="Times New Roman"/>
          <w:bCs/>
          <w:iCs/>
        </w:rPr>
        <w:t xml:space="preserve"> </w:t>
      </w:r>
      <w:r w:rsidRPr="00D1203F">
        <w:rPr>
          <w:rFonts w:ascii="Times New Roman" w:eastAsia="SimSun" w:hAnsi="Times New Roman" w:cs="Times New Roman"/>
          <w:bCs/>
          <w:iCs/>
        </w:rPr>
        <w:t>pubblico, chiunque ha diritto di accedere ai dati e ai documenti</w:t>
      </w:r>
      <w:r w:rsidRPr="00D1203F">
        <w:rPr>
          <w:rFonts w:ascii="Times New Roman" w:hAnsi="Times New Roman" w:cs="Times New Roman"/>
          <w:bCs/>
          <w:iCs/>
        </w:rPr>
        <w:t xml:space="preserve"> </w:t>
      </w:r>
      <w:r w:rsidRPr="00D1203F">
        <w:rPr>
          <w:rFonts w:ascii="Times New Roman" w:eastAsia="SimSun" w:hAnsi="Times New Roman" w:cs="Times New Roman"/>
          <w:bCs/>
          <w:iCs/>
        </w:rPr>
        <w:t>detenuti dalle pubbliche amministrazioni, ulteriori rispetto a quelli</w:t>
      </w:r>
      <w:r w:rsidRPr="00D1203F">
        <w:rPr>
          <w:rFonts w:ascii="Times New Roman" w:hAnsi="Times New Roman" w:cs="Times New Roman"/>
          <w:bCs/>
          <w:iCs/>
        </w:rPr>
        <w:t xml:space="preserve"> </w:t>
      </w:r>
      <w:r w:rsidRPr="00D1203F">
        <w:rPr>
          <w:rFonts w:ascii="Times New Roman" w:eastAsia="SimSun" w:hAnsi="Times New Roman" w:cs="Times New Roman"/>
          <w:bCs/>
          <w:iCs/>
        </w:rPr>
        <w:t>oggetto di pubblicazione ai sensi del presente decreto, nel  rispetto</w:t>
      </w:r>
      <w:r w:rsidRPr="00D1203F">
        <w:rPr>
          <w:rFonts w:ascii="Times New Roman" w:hAnsi="Times New Roman" w:cs="Times New Roman"/>
          <w:bCs/>
          <w:iCs/>
        </w:rPr>
        <w:t xml:space="preserve"> </w:t>
      </w:r>
      <w:r w:rsidRPr="00D1203F">
        <w:rPr>
          <w:rFonts w:ascii="Times New Roman" w:eastAsia="SimSun" w:hAnsi="Times New Roman" w:cs="Times New Roman"/>
          <w:bCs/>
          <w:iCs/>
        </w:rPr>
        <w:t>dei limiti relativi alla tutela di interessi giuridicamente rilevanti</w:t>
      </w:r>
      <w:r w:rsidRPr="00D1203F">
        <w:rPr>
          <w:rFonts w:ascii="Times New Roman" w:hAnsi="Times New Roman" w:cs="Times New Roman"/>
          <w:bCs/>
          <w:iCs/>
        </w:rPr>
        <w:t xml:space="preserve"> </w:t>
      </w:r>
      <w:r w:rsidRPr="00D1203F">
        <w:rPr>
          <w:rFonts w:ascii="Times New Roman" w:eastAsia="SimSun" w:hAnsi="Times New Roman" w:cs="Times New Roman"/>
          <w:bCs/>
          <w:iCs/>
        </w:rPr>
        <w:t>secondo quanto previsto dall'articolo 5-bis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64DD" w:rsidRDefault="00C064DD">
    <w:pPr>
      <w:pStyle w:val="Intestazione"/>
      <w:ind w:right="-864"/>
      <w:jc w:val="right"/>
    </w:pPr>
  </w:p>
  <w:p w:rsidR="00C064DD" w:rsidRDefault="00C064D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8214A73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2FA074A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CCA46BC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732CE734"/>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E7D0DA4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D0087B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0E457D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D761D8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A360884"/>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F16A07F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741728"/>
    <w:multiLevelType w:val="hybridMultilevel"/>
    <w:tmpl w:val="2B48B220"/>
    <w:lvl w:ilvl="0" w:tplc="04100017">
      <w:start w:val="1"/>
      <w:numFmt w:val="lowerLetter"/>
      <w:lvlText w:val="%1)"/>
      <w:lvlJc w:val="left"/>
      <w:pPr>
        <w:ind w:left="720" w:hanging="360"/>
      </w:pPr>
      <w:rPr>
        <w:rFonts w:cs="Times New Roman" w:hint="default"/>
        <w:b w:val="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15:restartNumberingAfterBreak="0">
    <w:nsid w:val="08F41F39"/>
    <w:multiLevelType w:val="hybridMultilevel"/>
    <w:tmpl w:val="EB188F92"/>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9593185"/>
    <w:multiLevelType w:val="hybridMultilevel"/>
    <w:tmpl w:val="DF68597A"/>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9ED5DA8"/>
    <w:multiLevelType w:val="hybridMultilevel"/>
    <w:tmpl w:val="7B746F7E"/>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hint="default"/>
      </w:rPr>
    </w:lvl>
    <w:lvl w:ilvl="2" w:tplc="C254A21C">
      <w:numFmt w:val="bullet"/>
      <w:lvlText w:val="-"/>
      <w:lvlJc w:val="left"/>
      <w:pPr>
        <w:tabs>
          <w:tab w:val="num" w:pos="1800"/>
        </w:tabs>
        <w:ind w:left="1800" w:hanging="360"/>
      </w:pPr>
      <w:rPr>
        <w:rFonts w:ascii="Arial" w:eastAsia="Times New Roman" w:hAnsi="Arial"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1E0A2734"/>
    <w:multiLevelType w:val="hybridMultilevel"/>
    <w:tmpl w:val="6FBAA7B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BB27C9"/>
    <w:multiLevelType w:val="hybridMultilevel"/>
    <w:tmpl w:val="E27C4E5E"/>
    <w:lvl w:ilvl="0" w:tplc="3C887794">
      <w:numFmt w:val="bullet"/>
      <w:lvlText w:val="-"/>
      <w:lvlJc w:val="left"/>
      <w:pPr>
        <w:ind w:left="1440" w:hanging="360"/>
      </w:pPr>
      <w:rPr>
        <w:rFonts w:ascii="Book Antiqua" w:eastAsia="Times New Roman" w:hAnsi="Book Antiqua" w:hint="default"/>
      </w:rPr>
    </w:lvl>
    <w:lvl w:ilvl="1" w:tplc="04100003">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2B406349"/>
    <w:multiLevelType w:val="hybridMultilevel"/>
    <w:tmpl w:val="4A62106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17" w15:restartNumberingAfterBreak="0">
    <w:nsid w:val="2BA167F8"/>
    <w:multiLevelType w:val="hybridMultilevel"/>
    <w:tmpl w:val="E3607504"/>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ED8564F"/>
    <w:multiLevelType w:val="hybridMultilevel"/>
    <w:tmpl w:val="BE600D0E"/>
    <w:lvl w:ilvl="0" w:tplc="150007A0">
      <w:start w:val="14"/>
      <w:numFmt w:val="bullet"/>
      <w:lvlText w:val="-"/>
      <w:lvlJc w:val="left"/>
      <w:pPr>
        <w:ind w:left="720" w:hanging="360"/>
      </w:pPr>
      <w:rPr>
        <w:rFonts w:ascii="Courier" w:eastAsia="Times New Roman" w:hAnsi="Courier"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0270ED3"/>
    <w:multiLevelType w:val="hybridMultilevel"/>
    <w:tmpl w:val="E8C800F6"/>
    <w:lvl w:ilvl="0" w:tplc="04100003">
      <w:start w:val="1"/>
      <w:numFmt w:val="bullet"/>
      <w:lvlText w:val="o"/>
      <w:lvlJc w:val="left"/>
      <w:pPr>
        <w:tabs>
          <w:tab w:val="num" w:pos="1068"/>
        </w:tabs>
        <w:ind w:left="1068" w:hanging="360"/>
      </w:pPr>
      <w:rPr>
        <w:rFonts w:ascii="Courier New" w:hAnsi="Courier New" w:hint="default"/>
      </w:rPr>
    </w:lvl>
    <w:lvl w:ilvl="1" w:tplc="04100019" w:tentative="1">
      <w:start w:val="1"/>
      <w:numFmt w:val="lowerLetter"/>
      <w:lvlText w:val="%2."/>
      <w:lvlJc w:val="left"/>
      <w:pPr>
        <w:ind w:left="1788" w:hanging="360"/>
      </w:pPr>
      <w:rPr>
        <w:rFonts w:cs="Times New Roman"/>
      </w:rPr>
    </w:lvl>
    <w:lvl w:ilvl="2" w:tplc="0410001B" w:tentative="1">
      <w:start w:val="1"/>
      <w:numFmt w:val="lowerRoman"/>
      <w:lvlText w:val="%3."/>
      <w:lvlJc w:val="right"/>
      <w:pPr>
        <w:ind w:left="2508" w:hanging="180"/>
      </w:pPr>
      <w:rPr>
        <w:rFonts w:cs="Times New Roman"/>
      </w:rPr>
    </w:lvl>
    <w:lvl w:ilvl="3" w:tplc="0410000F" w:tentative="1">
      <w:start w:val="1"/>
      <w:numFmt w:val="decimal"/>
      <w:lvlText w:val="%4."/>
      <w:lvlJc w:val="left"/>
      <w:pPr>
        <w:ind w:left="3228" w:hanging="360"/>
      </w:pPr>
      <w:rPr>
        <w:rFonts w:cs="Times New Roman"/>
      </w:rPr>
    </w:lvl>
    <w:lvl w:ilvl="4" w:tplc="04100019" w:tentative="1">
      <w:start w:val="1"/>
      <w:numFmt w:val="lowerLetter"/>
      <w:lvlText w:val="%5."/>
      <w:lvlJc w:val="left"/>
      <w:pPr>
        <w:ind w:left="3948" w:hanging="360"/>
      </w:pPr>
      <w:rPr>
        <w:rFonts w:cs="Times New Roman"/>
      </w:rPr>
    </w:lvl>
    <w:lvl w:ilvl="5" w:tplc="0410001B" w:tentative="1">
      <w:start w:val="1"/>
      <w:numFmt w:val="lowerRoman"/>
      <w:lvlText w:val="%6."/>
      <w:lvlJc w:val="right"/>
      <w:pPr>
        <w:ind w:left="4668" w:hanging="180"/>
      </w:pPr>
      <w:rPr>
        <w:rFonts w:cs="Times New Roman"/>
      </w:rPr>
    </w:lvl>
    <w:lvl w:ilvl="6" w:tplc="0410000F" w:tentative="1">
      <w:start w:val="1"/>
      <w:numFmt w:val="decimal"/>
      <w:lvlText w:val="%7."/>
      <w:lvlJc w:val="left"/>
      <w:pPr>
        <w:ind w:left="5388" w:hanging="360"/>
      </w:pPr>
      <w:rPr>
        <w:rFonts w:cs="Times New Roman"/>
      </w:rPr>
    </w:lvl>
    <w:lvl w:ilvl="7" w:tplc="04100019" w:tentative="1">
      <w:start w:val="1"/>
      <w:numFmt w:val="lowerLetter"/>
      <w:lvlText w:val="%8."/>
      <w:lvlJc w:val="left"/>
      <w:pPr>
        <w:ind w:left="6108" w:hanging="360"/>
      </w:pPr>
      <w:rPr>
        <w:rFonts w:cs="Times New Roman"/>
      </w:rPr>
    </w:lvl>
    <w:lvl w:ilvl="8" w:tplc="0410001B" w:tentative="1">
      <w:start w:val="1"/>
      <w:numFmt w:val="lowerRoman"/>
      <w:lvlText w:val="%9."/>
      <w:lvlJc w:val="right"/>
      <w:pPr>
        <w:ind w:left="6828" w:hanging="180"/>
      </w:pPr>
      <w:rPr>
        <w:rFonts w:cs="Times New Roman"/>
      </w:rPr>
    </w:lvl>
  </w:abstractNum>
  <w:abstractNum w:abstractNumId="20" w15:restartNumberingAfterBreak="0">
    <w:nsid w:val="319425CD"/>
    <w:multiLevelType w:val="hybridMultilevel"/>
    <w:tmpl w:val="D48A3FD2"/>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88E4F1D"/>
    <w:multiLevelType w:val="hybridMultilevel"/>
    <w:tmpl w:val="8AF66014"/>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30A2B44"/>
    <w:multiLevelType w:val="hybridMultilevel"/>
    <w:tmpl w:val="377021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5FF0523"/>
    <w:multiLevelType w:val="hybridMultilevel"/>
    <w:tmpl w:val="60669DBA"/>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6B727D7"/>
    <w:multiLevelType w:val="hybridMultilevel"/>
    <w:tmpl w:val="2D7C4D6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F6F164E"/>
    <w:multiLevelType w:val="hybridMultilevel"/>
    <w:tmpl w:val="D8BAD0C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45F793C"/>
    <w:multiLevelType w:val="hybridMultilevel"/>
    <w:tmpl w:val="76840EA4"/>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B115AD0"/>
    <w:multiLevelType w:val="hybridMultilevel"/>
    <w:tmpl w:val="6A2697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E30138D"/>
    <w:multiLevelType w:val="hybridMultilevel"/>
    <w:tmpl w:val="5290CF56"/>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06A7E34"/>
    <w:multiLevelType w:val="hybridMultilevel"/>
    <w:tmpl w:val="A4888B12"/>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690C5073"/>
    <w:multiLevelType w:val="hybridMultilevel"/>
    <w:tmpl w:val="31B8A73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15:restartNumberingAfterBreak="0">
    <w:nsid w:val="6B2F49DA"/>
    <w:multiLevelType w:val="hybridMultilevel"/>
    <w:tmpl w:val="E49819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157206"/>
    <w:multiLevelType w:val="hybridMultilevel"/>
    <w:tmpl w:val="61D46A88"/>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530039C"/>
    <w:multiLevelType w:val="hybridMultilevel"/>
    <w:tmpl w:val="61FA46DE"/>
    <w:lvl w:ilvl="0" w:tplc="3C887794">
      <w:numFmt w:val="bullet"/>
      <w:lvlText w:val="-"/>
      <w:lvlJc w:val="left"/>
      <w:pPr>
        <w:ind w:left="1440" w:hanging="360"/>
      </w:pPr>
      <w:rPr>
        <w:rFonts w:ascii="Book Antiqua" w:eastAsia="Times New Roman" w:hAnsi="Book Antiqu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BAB2552"/>
    <w:multiLevelType w:val="hybridMultilevel"/>
    <w:tmpl w:val="F56CD44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30"/>
  </w:num>
  <w:num w:numId="2">
    <w:abstractNumId w:val="15"/>
  </w:num>
  <w:num w:numId="3">
    <w:abstractNumId w:val="33"/>
  </w:num>
  <w:num w:numId="4">
    <w:abstractNumId w:val="13"/>
  </w:num>
  <w:num w:numId="5">
    <w:abstractNumId w:val="19"/>
  </w:num>
  <w:num w:numId="6">
    <w:abstractNumId w:val="18"/>
  </w:num>
  <w:num w:numId="7">
    <w:abstractNumId w:val="10"/>
  </w:num>
  <w:num w:numId="8">
    <w:abstractNumId w:val="23"/>
  </w:num>
  <w:num w:numId="9">
    <w:abstractNumId w:val="21"/>
  </w:num>
  <w:num w:numId="10">
    <w:abstractNumId w:val="12"/>
  </w:num>
  <w:num w:numId="11">
    <w:abstractNumId w:val="11"/>
  </w:num>
  <w:num w:numId="12">
    <w:abstractNumId w:val="17"/>
  </w:num>
  <w:num w:numId="13">
    <w:abstractNumId w:val="34"/>
  </w:num>
  <w:num w:numId="14">
    <w:abstractNumId w:val="24"/>
  </w:num>
  <w:num w:numId="15">
    <w:abstractNumId w:val="16"/>
  </w:num>
  <w:num w:numId="16">
    <w:abstractNumId w:val="20"/>
  </w:num>
  <w:num w:numId="17">
    <w:abstractNumId w:val="32"/>
  </w:num>
  <w:num w:numId="18">
    <w:abstractNumId w:val="28"/>
  </w:num>
  <w:num w:numId="19">
    <w:abstractNumId w:val="22"/>
  </w:num>
  <w:num w:numId="20">
    <w:abstractNumId w:val="31"/>
  </w:num>
  <w:num w:numId="21">
    <w:abstractNumId w:val="14"/>
  </w:num>
  <w:num w:numId="22">
    <w:abstractNumId w:val="29"/>
  </w:num>
  <w:num w:numId="23">
    <w:abstractNumId w:val="26"/>
  </w:num>
  <w:num w:numId="24">
    <w:abstractNumId w:val="27"/>
  </w:num>
  <w:num w:numId="25">
    <w:abstractNumId w:val="25"/>
  </w:num>
  <w:num w:numId="26">
    <w:abstractNumId w:val="8"/>
  </w:num>
  <w:num w:numId="27">
    <w:abstractNumId w:val="3"/>
  </w:num>
  <w:num w:numId="28">
    <w:abstractNumId w:val="2"/>
  </w:num>
  <w:num w:numId="29">
    <w:abstractNumId w:val="1"/>
  </w:num>
  <w:num w:numId="30">
    <w:abstractNumId w:val="0"/>
  </w:num>
  <w:num w:numId="31">
    <w:abstractNumId w:val="9"/>
  </w:num>
  <w:num w:numId="32">
    <w:abstractNumId w:val="7"/>
  </w:num>
  <w:num w:numId="33">
    <w:abstractNumId w:val="6"/>
  </w:num>
  <w:num w:numId="34">
    <w:abstractNumId w:val="5"/>
  </w:num>
  <w:num w:numId="35">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37195"/>
    <w:rsid w:val="00000B07"/>
    <w:rsid w:val="00025CC8"/>
    <w:rsid w:val="000306A3"/>
    <w:rsid w:val="00047B39"/>
    <w:rsid w:val="000527ED"/>
    <w:rsid w:val="000601B5"/>
    <w:rsid w:val="000642F5"/>
    <w:rsid w:val="00067ED4"/>
    <w:rsid w:val="00073E05"/>
    <w:rsid w:val="00082BC5"/>
    <w:rsid w:val="00090C77"/>
    <w:rsid w:val="000A3E36"/>
    <w:rsid w:val="000C6B08"/>
    <w:rsid w:val="0010745A"/>
    <w:rsid w:val="00124BA1"/>
    <w:rsid w:val="001317DD"/>
    <w:rsid w:val="0014417C"/>
    <w:rsid w:val="001D3023"/>
    <w:rsid w:val="001F5187"/>
    <w:rsid w:val="00201F9A"/>
    <w:rsid w:val="00204101"/>
    <w:rsid w:val="0021376E"/>
    <w:rsid w:val="00225B3B"/>
    <w:rsid w:val="002260D5"/>
    <w:rsid w:val="002419B6"/>
    <w:rsid w:val="00251A9A"/>
    <w:rsid w:val="00285B42"/>
    <w:rsid w:val="0029310E"/>
    <w:rsid w:val="00297CD7"/>
    <w:rsid w:val="002A1306"/>
    <w:rsid w:val="002E726F"/>
    <w:rsid w:val="00304FA9"/>
    <w:rsid w:val="00323132"/>
    <w:rsid w:val="003404CD"/>
    <w:rsid w:val="0037688C"/>
    <w:rsid w:val="003770A7"/>
    <w:rsid w:val="00401EDC"/>
    <w:rsid w:val="0043198A"/>
    <w:rsid w:val="004372AD"/>
    <w:rsid w:val="00452046"/>
    <w:rsid w:val="004575B4"/>
    <w:rsid w:val="00465EDC"/>
    <w:rsid w:val="004A1CD7"/>
    <w:rsid w:val="004B0025"/>
    <w:rsid w:val="004D6A31"/>
    <w:rsid w:val="004E6BF2"/>
    <w:rsid w:val="00506D26"/>
    <w:rsid w:val="0051408E"/>
    <w:rsid w:val="00585895"/>
    <w:rsid w:val="00597D55"/>
    <w:rsid w:val="005A1DAC"/>
    <w:rsid w:val="005A434F"/>
    <w:rsid w:val="005C4FD9"/>
    <w:rsid w:val="005C7C10"/>
    <w:rsid w:val="005D2D4B"/>
    <w:rsid w:val="005D76EE"/>
    <w:rsid w:val="005F542D"/>
    <w:rsid w:val="005F566F"/>
    <w:rsid w:val="005F718C"/>
    <w:rsid w:val="00610302"/>
    <w:rsid w:val="006264A9"/>
    <w:rsid w:val="006332ED"/>
    <w:rsid w:val="006511EB"/>
    <w:rsid w:val="006513EC"/>
    <w:rsid w:val="00654A0A"/>
    <w:rsid w:val="006556EA"/>
    <w:rsid w:val="00661C6C"/>
    <w:rsid w:val="00673EAF"/>
    <w:rsid w:val="006F792C"/>
    <w:rsid w:val="00723592"/>
    <w:rsid w:val="007731BA"/>
    <w:rsid w:val="007876B2"/>
    <w:rsid w:val="007B2DAB"/>
    <w:rsid w:val="007B7210"/>
    <w:rsid w:val="00813C4A"/>
    <w:rsid w:val="00814E5B"/>
    <w:rsid w:val="00836E59"/>
    <w:rsid w:val="008434A7"/>
    <w:rsid w:val="0084468F"/>
    <w:rsid w:val="00870142"/>
    <w:rsid w:val="00874F23"/>
    <w:rsid w:val="008B69FF"/>
    <w:rsid w:val="008C663C"/>
    <w:rsid w:val="0091096F"/>
    <w:rsid w:val="00912DF5"/>
    <w:rsid w:val="00963170"/>
    <w:rsid w:val="009642AC"/>
    <w:rsid w:val="00966621"/>
    <w:rsid w:val="00975D53"/>
    <w:rsid w:val="0098255A"/>
    <w:rsid w:val="009953B5"/>
    <w:rsid w:val="00995A5B"/>
    <w:rsid w:val="00995D19"/>
    <w:rsid w:val="009A4C5E"/>
    <w:rsid w:val="009B38A5"/>
    <w:rsid w:val="009E2369"/>
    <w:rsid w:val="009F4AB7"/>
    <w:rsid w:val="00A05576"/>
    <w:rsid w:val="00A17D1F"/>
    <w:rsid w:val="00A202CA"/>
    <w:rsid w:val="00A33288"/>
    <w:rsid w:val="00A342C6"/>
    <w:rsid w:val="00A44EB4"/>
    <w:rsid w:val="00A50199"/>
    <w:rsid w:val="00AB4ABF"/>
    <w:rsid w:val="00AC5D80"/>
    <w:rsid w:val="00AD30B7"/>
    <w:rsid w:val="00AE1096"/>
    <w:rsid w:val="00AF51E9"/>
    <w:rsid w:val="00B2722F"/>
    <w:rsid w:val="00B6052C"/>
    <w:rsid w:val="00B73E9D"/>
    <w:rsid w:val="00BA049C"/>
    <w:rsid w:val="00BC5A9E"/>
    <w:rsid w:val="00BD0E8F"/>
    <w:rsid w:val="00C0251F"/>
    <w:rsid w:val="00C03BE4"/>
    <w:rsid w:val="00C064DD"/>
    <w:rsid w:val="00C069BA"/>
    <w:rsid w:val="00C206D7"/>
    <w:rsid w:val="00C37195"/>
    <w:rsid w:val="00C46463"/>
    <w:rsid w:val="00C601BF"/>
    <w:rsid w:val="00CB05DF"/>
    <w:rsid w:val="00CB5228"/>
    <w:rsid w:val="00CB6265"/>
    <w:rsid w:val="00CE5C45"/>
    <w:rsid w:val="00D006B0"/>
    <w:rsid w:val="00D062A7"/>
    <w:rsid w:val="00D1203F"/>
    <w:rsid w:val="00D17288"/>
    <w:rsid w:val="00D27B64"/>
    <w:rsid w:val="00D456FD"/>
    <w:rsid w:val="00D50E1C"/>
    <w:rsid w:val="00D6284E"/>
    <w:rsid w:val="00DB2FCB"/>
    <w:rsid w:val="00DC6344"/>
    <w:rsid w:val="00DD33DB"/>
    <w:rsid w:val="00DD634A"/>
    <w:rsid w:val="00DE4EE9"/>
    <w:rsid w:val="00E32599"/>
    <w:rsid w:val="00E6056E"/>
    <w:rsid w:val="00E90D0B"/>
    <w:rsid w:val="00E91FA0"/>
    <w:rsid w:val="00EC0807"/>
    <w:rsid w:val="00EC5B16"/>
    <w:rsid w:val="00F21E87"/>
    <w:rsid w:val="00F26D90"/>
    <w:rsid w:val="00F35621"/>
    <w:rsid w:val="00F5763A"/>
    <w:rsid w:val="00F615EA"/>
    <w:rsid w:val="00F705BA"/>
    <w:rsid w:val="00F91EE1"/>
    <w:rsid w:val="00FA7B2C"/>
    <w:rsid w:val="00FB1B7D"/>
    <w:rsid w:val="00FB352B"/>
    <w:rsid w:val="00FC46F8"/>
    <w:rsid w:val="00FC7985"/>
    <w:rsid w:val="00FD73DF"/>
    <w:rsid w:val="00FE61C5"/>
    <w:rsid w:val="00FE77DA"/>
    <w:rsid w:val="00FF09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7A3D86"/>
  <w15:docId w15:val="{8FFCE729-0936-400D-B7EE-25062E896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e">
    <w:name w:val="Normal"/>
    <w:qFormat/>
    <w:rsid w:val="00304FA9"/>
    <w:pPr>
      <w:spacing w:after="160" w:line="259" w:lineRule="auto"/>
    </w:pPr>
    <w:rPr>
      <w:lang w:eastAsia="en-US"/>
    </w:rPr>
  </w:style>
  <w:style w:type="paragraph" w:styleId="Titolo1">
    <w:name w:val="heading 1"/>
    <w:basedOn w:val="Normale"/>
    <w:next w:val="Normale"/>
    <w:link w:val="Titolo1Carattere"/>
    <w:uiPriority w:val="99"/>
    <w:qFormat/>
    <w:locked/>
    <w:rsid w:val="004A1CD7"/>
    <w:pPr>
      <w:keepNext/>
      <w:spacing w:before="240" w:after="60" w:line="240" w:lineRule="auto"/>
      <w:outlineLvl w:val="0"/>
    </w:pPr>
    <w:rPr>
      <w:rFonts w:ascii="Cambria" w:hAnsi="Cambria"/>
      <w:b/>
      <w:kern w:val="32"/>
      <w:sz w:val="32"/>
      <w:szCs w:val="20"/>
      <w:lang w:eastAsia="it-IT"/>
    </w:rPr>
  </w:style>
  <w:style w:type="paragraph" w:styleId="Titolo2">
    <w:name w:val="heading 2"/>
    <w:basedOn w:val="Titolo3"/>
    <w:next w:val="Normale"/>
    <w:link w:val="Titolo2Carattere"/>
    <w:uiPriority w:val="99"/>
    <w:qFormat/>
    <w:locked/>
    <w:rsid w:val="004A1CD7"/>
    <w:pPr>
      <w:keepNext w:val="0"/>
      <w:spacing w:before="0" w:after="0" w:line="480" w:lineRule="auto"/>
      <w:ind w:left="720"/>
      <w:jc w:val="both"/>
      <w:outlineLvl w:val="1"/>
    </w:pPr>
    <w:rPr>
      <w:rFonts w:ascii="Arial" w:hAnsi="Arial"/>
      <w:sz w:val="32"/>
    </w:rPr>
  </w:style>
  <w:style w:type="paragraph" w:styleId="Titolo3">
    <w:name w:val="heading 3"/>
    <w:basedOn w:val="Normale"/>
    <w:next w:val="Normale"/>
    <w:link w:val="Titolo3Carattere"/>
    <w:uiPriority w:val="99"/>
    <w:qFormat/>
    <w:locked/>
    <w:rsid w:val="004A1CD7"/>
    <w:pPr>
      <w:keepNext/>
      <w:spacing w:before="240" w:after="60" w:line="240" w:lineRule="auto"/>
      <w:outlineLvl w:val="2"/>
    </w:pPr>
    <w:rPr>
      <w:rFonts w:ascii="Cambria" w:hAnsi="Cambria"/>
      <w:b/>
      <w:sz w:val="26"/>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eading1Char">
    <w:name w:val="Heading 1 Char"/>
    <w:basedOn w:val="Carpredefinitoparagrafo"/>
    <w:uiPriority w:val="99"/>
    <w:locked/>
    <w:rsid w:val="009953B5"/>
    <w:rPr>
      <w:rFonts w:ascii="Cambria" w:hAnsi="Cambria" w:cs="Times New Roman"/>
      <w:b/>
      <w:bCs/>
      <w:kern w:val="32"/>
      <w:sz w:val="32"/>
      <w:szCs w:val="32"/>
      <w:lang w:eastAsia="en-US"/>
    </w:rPr>
  </w:style>
  <w:style w:type="character" w:customStyle="1" w:styleId="Heading2Char">
    <w:name w:val="Heading 2 Char"/>
    <w:basedOn w:val="Carpredefinitoparagrafo"/>
    <w:uiPriority w:val="99"/>
    <w:semiHidden/>
    <w:locked/>
    <w:rsid w:val="009953B5"/>
    <w:rPr>
      <w:rFonts w:ascii="Cambria" w:hAnsi="Cambria" w:cs="Times New Roman"/>
      <w:b/>
      <w:bCs/>
      <w:i/>
      <w:iCs/>
      <w:sz w:val="28"/>
      <w:szCs w:val="28"/>
      <w:lang w:eastAsia="en-US"/>
    </w:rPr>
  </w:style>
  <w:style w:type="character" w:customStyle="1" w:styleId="Heading3Char">
    <w:name w:val="Heading 3 Char"/>
    <w:basedOn w:val="Carpredefinitoparagrafo"/>
    <w:uiPriority w:val="99"/>
    <w:semiHidden/>
    <w:locked/>
    <w:rsid w:val="009953B5"/>
    <w:rPr>
      <w:rFonts w:ascii="Cambria" w:hAnsi="Cambria" w:cs="Times New Roman"/>
      <w:b/>
      <w:bCs/>
      <w:sz w:val="26"/>
      <w:szCs w:val="26"/>
      <w:lang w:eastAsia="en-US"/>
    </w:rPr>
  </w:style>
  <w:style w:type="character" w:styleId="Collegamentoipertestuale">
    <w:name w:val="Hyperlink"/>
    <w:basedOn w:val="Carpredefinitoparagrafo"/>
    <w:uiPriority w:val="99"/>
    <w:rsid w:val="00067ED4"/>
    <w:rPr>
      <w:rFonts w:cs="Times New Roman"/>
      <w:color w:val="0563C1"/>
      <w:u w:val="single"/>
    </w:rPr>
  </w:style>
  <w:style w:type="paragraph" w:styleId="Paragrafoelenco">
    <w:name w:val="List Paragraph"/>
    <w:basedOn w:val="Normale"/>
    <w:uiPriority w:val="99"/>
    <w:qFormat/>
    <w:rsid w:val="00067ED4"/>
    <w:pPr>
      <w:ind w:left="720"/>
      <w:contextualSpacing/>
    </w:pPr>
  </w:style>
  <w:style w:type="paragraph" w:customStyle="1" w:styleId="Nessunaspaziatura1">
    <w:name w:val="Nessuna spaziatura1"/>
    <w:uiPriority w:val="99"/>
    <w:rsid w:val="0014417C"/>
    <w:rPr>
      <w:rFonts w:eastAsia="Times New Roman"/>
      <w:lang w:eastAsia="en-US"/>
    </w:rPr>
  </w:style>
  <w:style w:type="paragraph" w:styleId="Corpotesto">
    <w:name w:val="Body Text"/>
    <w:basedOn w:val="Normale"/>
    <w:link w:val="CorpotestoCarattere"/>
    <w:uiPriority w:val="99"/>
    <w:rsid w:val="0014417C"/>
    <w:pPr>
      <w:suppressAutoHyphens/>
      <w:spacing w:after="0" w:line="240" w:lineRule="auto"/>
      <w:jc w:val="center"/>
    </w:pPr>
    <w:rPr>
      <w:rFonts w:ascii="Arial" w:eastAsia="SimSun" w:hAnsi="Arial" w:cs="Arial"/>
      <w:kern w:val="1"/>
      <w:lang w:eastAsia="hi-IN" w:bidi="hi-IN"/>
    </w:rPr>
  </w:style>
  <w:style w:type="character" w:customStyle="1" w:styleId="CorpotestoCarattere">
    <w:name w:val="Corpo testo Carattere"/>
    <w:basedOn w:val="Carpredefinitoparagrafo"/>
    <w:link w:val="Corpotesto"/>
    <w:uiPriority w:val="99"/>
    <w:locked/>
    <w:rsid w:val="0014417C"/>
    <w:rPr>
      <w:rFonts w:ascii="Arial" w:eastAsia="SimSun" w:hAnsi="Arial" w:cs="Arial"/>
      <w:kern w:val="1"/>
      <w:lang w:eastAsia="hi-IN" w:bidi="hi-IN"/>
    </w:rPr>
  </w:style>
  <w:style w:type="paragraph" w:styleId="Nessunaspaziatura">
    <w:name w:val="No Spacing"/>
    <w:uiPriority w:val="99"/>
    <w:qFormat/>
    <w:rsid w:val="0014417C"/>
    <w:rPr>
      <w:rFonts w:eastAsia="Times New Roman"/>
      <w:lang w:eastAsia="en-US"/>
    </w:rPr>
  </w:style>
  <w:style w:type="paragraph" w:customStyle="1" w:styleId="ListParagraph1">
    <w:name w:val="List Paragraph1"/>
    <w:basedOn w:val="Normale"/>
    <w:uiPriority w:val="99"/>
    <w:rsid w:val="00D456FD"/>
    <w:pPr>
      <w:ind w:left="720"/>
      <w:contextualSpacing/>
    </w:pPr>
    <w:rPr>
      <w:rFonts w:eastAsia="Times New Roman"/>
    </w:rPr>
  </w:style>
  <w:style w:type="paragraph" w:customStyle="1" w:styleId="Default">
    <w:name w:val="Default"/>
    <w:uiPriority w:val="99"/>
    <w:rsid w:val="00D456FD"/>
    <w:pPr>
      <w:autoSpaceDE w:val="0"/>
      <w:autoSpaceDN w:val="0"/>
      <w:adjustRightInd w:val="0"/>
    </w:pPr>
    <w:rPr>
      <w:rFonts w:ascii="Arial" w:hAnsi="Arial" w:cs="Arial"/>
      <w:color w:val="000000"/>
      <w:sz w:val="24"/>
      <w:szCs w:val="24"/>
    </w:rPr>
  </w:style>
  <w:style w:type="paragraph" w:customStyle="1" w:styleId="TitoloB">
    <w:name w:val="Titolo B"/>
    <w:basedOn w:val="Normale"/>
    <w:uiPriority w:val="99"/>
    <w:rsid w:val="0037688C"/>
    <w:pPr>
      <w:suppressAutoHyphens/>
      <w:spacing w:after="120" w:line="360" w:lineRule="auto"/>
      <w:ind w:right="567"/>
    </w:pPr>
    <w:rPr>
      <w:rFonts w:ascii="Arial" w:eastAsia="SimSun" w:hAnsi="Arial" w:cs="Arial"/>
      <w:b/>
      <w:bCs/>
      <w:kern w:val="1"/>
      <w:lang w:eastAsia="hi-IN" w:bidi="hi-IN"/>
    </w:rPr>
  </w:style>
  <w:style w:type="paragraph" w:styleId="Testonotaapidipagina">
    <w:name w:val="footnote text"/>
    <w:basedOn w:val="Normale"/>
    <w:link w:val="TestonotaapidipaginaCarattere"/>
    <w:uiPriority w:val="99"/>
    <w:semiHidden/>
    <w:rsid w:val="0037688C"/>
    <w:pPr>
      <w:spacing w:after="0" w:line="240" w:lineRule="auto"/>
    </w:pPr>
    <w:rPr>
      <w:rFonts w:ascii="Times New Roman" w:hAnsi="Times New Roman"/>
      <w:sz w:val="20"/>
      <w:szCs w:val="20"/>
      <w:lang w:eastAsia="it-IT"/>
    </w:rPr>
  </w:style>
  <w:style w:type="character" w:customStyle="1" w:styleId="TestonotaapidipaginaCarattere">
    <w:name w:val="Testo nota a piè di pagina Carattere"/>
    <w:basedOn w:val="Carpredefinitoparagrafo"/>
    <w:link w:val="Testonotaapidipagina"/>
    <w:uiPriority w:val="99"/>
    <w:semiHidden/>
    <w:locked/>
    <w:rsid w:val="0037688C"/>
    <w:rPr>
      <w:rFonts w:ascii="Times New Roman" w:hAnsi="Times New Roman" w:cs="Times New Roman"/>
      <w:sz w:val="20"/>
      <w:szCs w:val="20"/>
      <w:lang w:eastAsia="it-IT"/>
    </w:rPr>
  </w:style>
  <w:style w:type="character" w:customStyle="1" w:styleId="Titolo1Carattere">
    <w:name w:val="Titolo 1 Carattere"/>
    <w:link w:val="Titolo1"/>
    <w:uiPriority w:val="99"/>
    <w:locked/>
    <w:rsid w:val="004A1CD7"/>
    <w:rPr>
      <w:rFonts w:ascii="Cambria" w:hAnsi="Cambria"/>
      <w:b/>
      <w:kern w:val="32"/>
      <w:sz w:val="32"/>
    </w:rPr>
  </w:style>
  <w:style w:type="character" w:customStyle="1" w:styleId="Titolo3Carattere">
    <w:name w:val="Titolo 3 Carattere"/>
    <w:link w:val="Titolo3"/>
    <w:uiPriority w:val="99"/>
    <w:semiHidden/>
    <w:locked/>
    <w:rsid w:val="004A1CD7"/>
    <w:rPr>
      <w:rFonts w:ascii="Cambria" w:hAnsi="Cambria"/>
      <w:b/>
      <w:sz w:val="26"/>
    </w:rPr>
  </w:style>
  <w:style w:type="character" w:customStyle="1" w:styleId="Titolo2Carattere">
    <w:name w:val="Titolo 2 Carattere"/>
    <w:link w:val="Titolo2"/>
    <w:uiPriority w:val="99"/>
    <w:locked/>
    <w:rsid w:val="004A1CD7"/>
    <w:rPr>
      <w:rFonts w:ascii="Arial" w:hAnsi="Arial"/>
      <w:b/>
      <w:sz w:val="32"/>
    </w:rPr>
  </w:style>
  <w:style w:type="character" w:customStyle="1" w:styleId="CarattereCarattere6">
    <w:name w:val="Carattere Carattere6"/>
    <w:uiPriority w:val="99"/>
    <w:rsid w:val="004A1CD7"/>
    <w:rPr>
      <w:rFonts w:ascii="Arial" w:hAnsi="Arial"/>
      <w:sz w:val="24"/>
    </w:rPr>
  </w:style>
  <w:style w:type="paragraph" w:styleId="Titolo">
    <w:name w:val="Title"/>
    <w:basedOn w:val="Normale"/>
    <w:link w:val="TitoloCarattere"/>
    <w:uiPriority w:val="99"/>
    <w:qFormat/>
    <w:locked/>
    <w:rsid w:val="004A1CD7"/>
    <w:pPr>
      <w:spacing w:after="0" w:line="240" w:lineRule="auto"/>
      <w:jc w:val="center"/>
    </w:pPr>
    <w:rPr>
      <w:rFonts w:ascii="Arial" w:hAnsi="Arial"/>
      <w:sz w:val="24"/>
      <w:szCs w:val="20"/>
      <w:lang w:eastAsia="it-IT"/>
    </w:rPr>
  </w:style>
  <w:style w:type="character" w:customStyle="1" w:styleId="TitleChar">
    <w:name w:val="Title Char"/>
    <w:basedOn w:val="Carpredefinitoparagrafo"/>
    <w:uiPriority w:val="99"/>
    <w:locked/>
    <w:rsid w:val="009953B5"/>
    <w:rPr>
      <w:rFonts w:ascii="Cambria" w:hAnsi="Cambria" w:cs="Times New Roman"/>
      <w:b/>
      <w:bCs/>
      <w:kern w:val="28"/>
      <w:sz w:val="32"/>
      <w:szCs w:val="32"/>
      <w:lang w:eastAsia="en-US"/>
    </w:rPr>
  </w:style>
  <w:style w:type="character" w:customStyle="1" w:styleId="TitoloCarattere">
    <w:name w:val="Titolo Carattere"/>
    <w:link w:val="Titolo"/>
    <w:uiPriority w:val="99"/>
    <w:locked/>
    <w:rsid w:val="004A1CD7"/>
    <w:rPr>
      <w:rFonts w:ascii="Arial" w:hAnsi="Arial"/>
      <w:sz w:val="24"/>
    </w:rPr>
  </w:style>
  <w:style w:type="paragraph" w:styleId="NormaleWeb">
    <w:name w:val="Normal (Web)"/>
    <w:basedOn w:val="Normale"/>
    <w:uiPriority w:val="99"/>
    <w:rsid w:val="004A1CD7"/>
    <w:pPr>
      <w:spacing w:before="100" w:beforeAutospacing="1" w:after="100" w:afterAutospacing="1" w:line="240" w:lineRule="auto"/>
    </w:pPr>
    <w:rPr>
      <w:rFonts w:ascii="Times New Roman" w:hAnsi="Times New Roman"/>
      <w:sz w:val="24"/>
      <w:szCs w:val="24"/>
      <w:lang w:eastAsia="it-IT"/>
    </w:rPr>
  </w:style>
  <w:style w:type="character" w:customStyle="1" w:styleId="provvnumart1">
    <w:name w:val="provv_numart1"/>
    <w:uiPriority w:val="99"/>
    <w:rsid w:val="004A1CD7"/>
    <w:rPr>
      <w:rFonts w:ascii="Verdana" w:hAnsi="Verdana"/>
      <w:b/>
    </w:rPr>
  </w:style>
  <w:style w:type="character" w:customStyle="1" w:styleId="provvrubrica1">
    <w:name w:val="provv_rubrica1"/>
    <w:uiPriority w:val="99"/>
    <w:rsid w:val="004A1CD7"/>
    <w:rPr>
      <w:rFonts w:ascii="Verdana" w:hAnsi="Verdana"/>
      <w:i/>
    </w:rPr>
  </w:style>
  <w:style w:type="paragraph" w:customStyle="1" w:styleId="provvr01">
    <w:name w:val="provv_r01"/>
    <w:basedOn w:val="Normale"/>
    <w:uiPriority w:val="99"/>
    <w:rsid w:val="004A1CD7"/>
    <w:pPr>
      <w:spacing w:before="100" w:beforeAutospacing="1" w:after="100" w:afterAutospacing="1" w:line="240" w:lineRule="auto"/>
      <w:jc w:val="both"/>
    </w:pPr>
    <w:rPr>
      <w:rFonts w:ascii="Verdana" w:hAnsi="Verdana"/>
      <w:sz w:val="24"/>
      <w:szCs w:val="24"/>
      <w:lang w:eastAsia="it-IT"/>
    </w:rPr>
  </w:style>
  <w:style w:type="character" w:customStyle="1" w:styleId="CarattereCarattere4">
    <w:name w:val="Carattere Carattere4"/>
    <w:basedOn w:val="Carpredefinitoparagrafo"/>
    <w:uiPriority w:val="99"/>
    <w:semiHidden/>
    <w:rsid w:val="004A1CD7"/>
    <w:rPr>
      <w:rFonts w:cs="Times New Roman"/>
      <w:lang w:val="it-IT" w:eastAsia="it-IT" w:bidi="ar-SA"/>
    </w:rPr>
  </w:style>
  <w:style w:type="character" w:styleId="Rimandonotaapidipagina">
    <w:name w:val="footnote reference"/>
    <w:basedOn w:val="Carpredefinitoparagrafo"/>
    <w:uiPriority w:val="99"/>
    <w:semiHidden/>
    <w:rsid w:val="004A1CD7"/>
    <w:rPr>
      <w:rFonts w:cs="Times New Roman"/>
      <w:vertAlign w:val="superscript"/>
    </w:rPr>
  </w:style>
  <w:style w:type="paragraph" w:styleId="Testofumetto">
    <w:name w:val="Balloon Text"/>
    <w:basedOn w:val="Normale"/>
    <w:link w:val="TestofumettoCarattere"/>
    <w:uiPriority w:val="99"/>
    <w:semiHidden/>
    <w:rsid w:val="004A1CD7"/>
    <w:pPr>
      <w:spacing w:after="0" w:line="240" w:lineRule="auto"/>
    </w:pPr>
    <w:rPr>
      <w:rFonts w:ascii="Tahoma" w:hAnsi="Tahoma"/>
      <w:sz w:val="16"/>
      <w:szCs w:val="20"/>
      <w:lang w:eastAsia="it-IT"/>
    </w:rPr>
  </w:style>
  <w:style w:type="character" w:customStyle="1" w:styleId="BalloonTextChar">
    <w:name w:val="Balloon Text Char"/>
    <w:basedOn w:val="Carpredefinitoparagrafo"/>
    <w:uiPriority w:val="99"/>
    <w:semiHidden/>
    <w:locked/>
    <w:rsid w:val="009953B5"/>
    <w:rPr>
      <w:rFonts w:ascii="Times New Roman" w:hAnsi="Times New Roman" w:cs="Times New Roman"/>
      <w:sz w:val="2"/>
      <w:lang w:eastAsia="en-US"/>
    </w:rPr>
  </w:style>
  <w:style w:type="character" w:customStyle="1" w:styleId="TestofumettoCarattere">
    <w:name w:val="Testo fumetto Carattere"/>
    <w:link w:val="Testofumetto"/>
    <w:uiPriority w:val="99"/>
    <w:semiHidden/>
    <w:locked/>
    <w:rsid w:val="004A1CD7"/>
    <w:rPr>
      <w:rFonts w:ascii="Tahoma" w:hAnsi="Tahoma"/>
      <w:sz w:val="16"/>
    </w:rPr>
  </w:style>
  <w:style w:type="character" w:customStyle="1" w:styleId="linkneltesto">
    <w:name w:val="link_nel_testo"/>
    <w:uiPriority w:val="99"/>
    <w:rsid w:val="004A1CD7"/>
    <w:rPr>
      <w:i/>
    </w:rPr>
  </w:style>
  <w:style w:type="paragraph" w:customStyle="1" w:styleId="provvr0">
    <w:name w:val="provv_r0"/>
    <w:basedOn w:val="Normale"/>
    <w:uiPriority w:val="99"/>
    <w:rsid w:val="004A1CD7"/>
    <w:pPr>
      <w:spacing w:before="100" w:beforeAutospacing="1" w:after="100" w:afterAutospacing="1" w:line="240" w:lineRule="auto"/>
      <w:jc w:val="both"/>
    </w:pPr>
    <w:rPr>
      <w:rFonts w:ascii="Times New Roman" w:hAnsi="Times New Roman"/>
      <w:sz w:val="24"/>
      <w:szCs w:val="24"/>
      <w:lang w:eastAsia="it-IT"/>
    </w:rPr>
  </w:style>
  <w:style w:type="paragraph" w:customStyle="1" w:styleId="provvr1">
    <w:name w:val="provv_r1"/>
    <w:basedOn w:val="Normale"/>
    <w:uiPriority w:val="99"/>
    <w:rsid w:val="004A1CD7"/>
    <w:pPr>
      <w:spacing w:before="100" w:beforeAutospacing="1" w:after="100" w:afterAutospacing="1" w:line="240" w:lineRule="auto"/>
      <w:ind w:firstLine="400"/>
      <w:jc w:val="both"/>
    </w:pPr>
    <w:rPr>
      <w:rFonts w:ascii="Times New Roman" w:hAnsi="Times New Roman"/>
      <w:sz w:val="24"/>
      <w:szCs w:val="24"/>
      <w:lang w:eastAsia="it-IT"/>
    </w:rPr>
  </w:style>
  <w:style w:type="paragraph" w:customStyle="1" w:styleId="provvr2">
    <w:name w:val="provv_r2"/>
    <w:basedOn w:val="Normale"/>
    <w:uiPriority w:val="99"/>
    <w:rsid w:val="004A1CD7"/>
    <w:pPr>
      <w:spacing w:before="100" w:beforeAutospacing="1" w:after="100" w:afterAutospacing="1" w:line="240" w:lineRule="auto"/>
      <w:ind w:firstLine="600"/>
      <w:jc w:val="both"/>
    </w:pPr>
    <w:rPr>
      <w:rFonts w:ascii="Times New Roman" w:hAnsi="Times New Roman"/>
      <w:sz w:val="24"/>
      <w:szCs w:val="24"/>
      <w:lang w:eastAsia="it-IT"/>
    </w:rPr>
  </w:style>
  <w:style w:type="paragraph" w:customStyle="1" w:styleId="Paragrafoelenco1">
    <w:name w:val="Paragrafo elenco1"/>
    <w:basedOn w:val="Normale"/>
    <w:uiPriority w:val="99"/>
    <w:rsid w:val="004A1CD7"/>
    <w:pPr>
      <w:spacing w:after="200" w:line="276" w:lineRule="auto"/>
      <w:ind w:left="720"/>
    </w:pPr>
    <w:rPr>
      <w:rFonts w:eastAsia="Times New Roman" w:cs="Calibri"/>
    </w:rPr>
  </w:style>
  <w:style w:type="paragraph" w:customStyle="1" w:styleId="TitoloC">
    <w:name w:val="Titolo C"/>
    <w:basedOn w:val="Corpotesto"/>
    <w:uiPriority w:val="99"/>
    <w:rsid w:val="004A1CD7"/>
    <w:pPr>
      <w:suppressAutoHyphens w:val="0"/>
      <w:spacing w:after="120" w:line="360" w:lineRule="auto"/>
      <w:jc w:val="both"/>
    </w:pPr>
    <w:rPr>
      <w:rFonts w:eastAsia="Calibri" w:cs="Times New Roman"/>
      <w:kern w:val="0"/>
      <w:u w:val="single"/>
      <w:lang w:eastAsia="it-IT" w:bidi="ar-SA"/>
    </w:rPr>
  </w:style>
  <w:style w:type="paragraph" w:customStyle="1" w:styleId="Style32">
    <w:name w:val="Style32"/>
    <w:basedOn w:val="Normale"/>
    <w:uiPriority w:val="99"/>
    <w:rsid w:val="004A1CD7"/>
    <w:pPr>
      <w:widowControl w:val="0"/>
      <w:autoSpaceDE w:val="0"/>
      <w:autoSpaceDN w:val="0"/>
      <w:adjustRightInd w:val="0"/>
      <w:spacing w:after="0" w:line="475" w:lineRule="exact"/>
      <w:ind w:firstLine="298"/>
      <w:jc w:val="both"/>
    </w:pPr>
    <w:rPr>
      <w:rFonts w:ascii="Garamond" w:hAnsi="Garamond"/>
      <w:sz w:val="24"/>
      <w:szCs w:val="24"/>
      <w:lang w:eastAsia="it-IT"/>
    </w:rPr>
  </w:style>
  <w:style w:type="character" w:customStyle="1" w:styleId="FontStyle98">
    <w:name w:val="Font Style98"/>
    <w:uiPriority w:val="99"/>
    <w:rsid w:val="004A1CD7"/>
    <w:rPr>
      <w:rFonts w:ascii="Garamond" w:hAnsi="Garamond"/>
      <w:i/>
      <w:color w:val="000000"/>
      <w:spacing w:val="10"/>
      <w:sz w:val="26"/>
    </w:rPr>
  </w:style>
  <w:style w:type="character" w:customStyle="1" w:styleId="FontStyle101">
    <w:name w:val="Font Style101"/>
    <w:uiPriority w:val="99"/>
    <w:rsid w:val="004A1CD7"/>
    <w:rPr>
      <w:rFonts w:ascii="Garamond" w:hAnsi="Garamond"/>
      <w:color w:val="000000"/>
      <w:sz w:val="26"/>
    </w:rPr>
  </w:style>
  <w:style w:type="paragraph" w:customStyle="1" w:styleId="Style15">
    <w:name w:val="Style15"/>
    <w:basedOn w:val="Normale"/>
    <w:uiPriority w:val="99"/>
    <w:rsid w:val="004A1CD7"/>
    <w:pPr>
      <w:widowControl w:val="0"/>
      <w:autoSpaceDE w:val="0"/>
      <w:autoSpaceDN w:val="0"/>
      <w:adjustRightInd w:val="0"/>
      <w:spacing w:after="0" w:line="360" w:lineRule="exact"/>
      <w:ind w:firstLine="283"/>
      <w:jc w:val="both"/>
    </w:pPr>
    <w:rPr>
      <w:rFonts w:ascii="Times New Roman" w:hAnsi="Times New Roman"/>
      <w:sz w:val="24"/>
      <w:szCs w:val="24"/>
      <w:lang w:eastAsia="it-IT"/>
    </w:rPr>
  </w:style>
  <w:style w:type="paragraph" w:customStyle="1" w:styleId="Style16">
    <w:name w:val="Style16"/>
    <w:basedOn w:val="Normale"/>
    <w:uiPriority w:val="99"/>
    <w:rsid w:val="004A1CD7"/>
    <w:pPr>
      <w:widowControl w:val="0"/>
      <w:autoSpaceDE w:val="0"/>
      <w:autoSpaceDN w:val="0"/>
      <w:adjustRightInd w:val="0"/>
      <w:spacing w:after="0" w:line="360" w:lineRule="exact"/>
      <w:ind w:hanging="403"/>
      <w:jc w:val="both"/>
    </w:pPr>
    <w:rPr>
      <w:rFonts w:ascii="Times New Roman" w:hAnsi="Times New Roman"/>
      <w:sz w:val="24"/>
      <w:szCs w:val="24"/>
      <w:lang w:eastAsia="it-IT"/>
    </w:rPr>
  </w:style>
  <w:style w:type="paragraph" w:customStyle="1" w:styleId="Style17">
    <w:name w:val="Style17"/>
    <w:basedOn w:val="Normale"/>
    <w:uiPriority w:val="99"/>
    <w:rsid w:val="004A1CD7"/>
    <w:pPr>
      <w:widowControl w:val="0"/>
      <w:autoSpaceDE w:val="0"/>
      <w:autoSpaceDN w:val="0"/>
      <w:adjustRightInd w:val="0"/>
      <w:spacing w:after="0" w:line="240" w:lineRule="auto"/>
      <w:jc w:val="both"/>
    </w:pPr>
    <w:rPr>
      <w:rFonts w:ascii="Times New Roman" w:hAnsi="Times New Roman"/>
      <w:sz w:val="24"/>
      <w:szCs w:val="24"/>
      <w:lang w:eastAsia="it-IT"/>
    </w:rPr>
  </w:style>
  <w:style w:type="character" w:customStyle="1" w:styleId="FontStyle55">
    <w:name w:val="Font Style55"/>
    <w:uiPriority w:val="99"/>
    <w:rsid w:val="004A1CD7"/>
    <w:rPr>
      <w:rFonts w:ascii="Times New Roman" w:hAnsi="Times New Roman"/>
      <w:color w:val="000000"/>
      <w:sz w:val="24"/>
    </w:rPr>
  </w:style>
  <w:style w:type="paragraph" w:customStyle="1" w:styleId="Style3">
    <w:name w:val="Style3"/>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6">
    <w:name w:val="Style6"/>
    <w:basedOn w:val="Normale"/>
    <w:uiPriority w:val="99"/>
    <w:rsid w:val="004A1CD7"/>
    <w:pPr>
      <w:widowControl w:val="0"/>
      <w:autoSpaceDE w:val="0"/>
      <w:autoSpaceDN w:val="0"/>
      <w:adjustRightInd w:val="0"/>
      <w:spacing w:after="0" w:line="408" w:lineRule="exact"/>
      <w:ind w:firstLine="806"/>
    </w:pPr>
    <w:rPr>
      <w:rFonts w:ascii="Garamond" w:hAnsi="Garamond"/>
      <w:sz w:val="24"/>
      <w:szCs w:val="24"/>
      <w:lang w:eastAsia="it-IT"/>
    </w:rPr>
  </w:style>
  <w:style w:type="paragraph" w:customStyle="1" w:styleId="Style11">
    <w:name w:val="Style11"/>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30">
    <w:name w:val="Style30"/>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44">
    <w:name w:val="Style44"/>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49">
    <w:name w:val="Style49"/>
    <w:basedOn w:val="Normale"/>
    <w:uiPriority w:val="99"/>
    <w:rsid w:val="004A1CD7"/>
    <w:pPr>
      <w:widowControl w:val="0"/>
      <w:autoSpaceDE w:val="0"/>
      <w:autoSpaceDN w:val="0"/>
      <w:adjustRightInd w:val="0"/>
      <w:spacing w:after="0" w:line="470" w:lineRule="exact"/>
      <w:jc w:val="both"/>
    </w:pPr>
    <w:rPr>
      <w:rFonts w:ascii="Garamond" w:hAnsi="Garamond"/>
      <w:sz w:val="24"/>
      <w:szCs w:val="24"/>
      <w:lang w:eastAsia="it-IT"/>
    </w:rPr>
  </w:style>
  <w:style w:type="character" w:customStyle="1" w:styleId="FontStyle94">
    <w:name w:val="Font Style94"/>
    <w:uiPriority w:val="99"/>
    <w:rsid w:val="004A1CD7"/>
    <w:rPr>
      <w:rFonts w:ascii="Garamond" w:hAnsi="Garamond"/>
      <w:b/>
      <w:color w:val="000000"/>
      <w:sz w:val="26"/>
    </w:rPr>
  </w:style>
  <w:style w:type="character" w:customStyle="1" w:styleId="FontStyle95">
    <w:name w:val="Font Style95"/>
    <w:uiPriority w:val="99"/>
    <w:rsid w:val="004A1CD7"/>
    <w:rPr>
      <w:rFonts w:ascii="Arial" w:hAnsi="Arial"/>
      <w:color w:val="000000"/>
      <w:sz w:val="18"/>
    </w:rPr>
  </w:style>
  <w:style w:type="character" w:customStyle="1" w:styleId="FontStyle96">
    <w:name w:val="Font Style96"/>
    <w:uiPriority w:val="99"/>
    <w:rsid w:val="004A1CD7"/>
    <w:rPr>
      <w:rFonts w:ascii="Arial" w:hAnsi="Arial"/>
      <w:color w:val="000000"/>
      <w:sz w:val="18"/>
    </w:rPr>
  </w:style>
  <w:style w:type="character" w:customStyle="1" w:styleId="FontStyle100">
    <w:name w:val="Font Style100"/>
    <w:uiPriority w:val="99"/>
    <w:rsid w:val="004A1CD7"/>
    <w:rPr>
      <w:rFonts w:ascii="Garamond" w:hAnsi="Garamond"/>
      <w:color w:val="000000"/>
      <w:sz w:val="16"/>
    </w:rPr>
  </w:style>
  <w:style w:type="paragraph" w:customStyle="1" w:styleId="TitoloA">
    <w:name w:val="Titolo A"/>
    <w:basedOn w:val="Normale"/>
    <w:uiPriority w:val="99"/>
    <w:rsid w:val="004A1CD7"/>
    <w:pPr>
      <w:spacing w:after="0" w:line="360" w:lineRule="auto"/>
      <w:ind w:right="567"/>
      <w:jc w:val="center"/>
    </w:pPr>
    <w:rPr>
      <w:rFonts w:ascii="Arial" w:hAnsi="Arial" w:cs="Arial"/>
      <w:b/>
      <w:bCs/>
      <w:sz w:val="32"/>
      <w:szCs w:val="32"/>
      <w:lang w:eastAsia="it-IT"/>
    </w:rPr>
  </w:style>
  <w:style w:type="paragraph" w:styleId="Intestazione">
    <w:name w:val="header"/>
    <w:basedOn w:val="Normale"/>
    <w:link w:val="IntestazioneCarattere"/>
    <w:uiPriority w:val="99"/>
    <w:rsid w:val="004A1CD7"/>
    <w:pPr>
      <w:tabs>
        <w:tab w:val="center" w:pos="4819"/>
        <w:tab w:val="right" w:pos="9638"/>
      </w:tabs>
      <w:spacing w:after="0" w:line="240" w:lineRule="auto"/>
    </w:pPr>
    <w:rPr>
      <w:sz w:val="24"/>
      <w:szCs w:val="20"/>
      <w:lang w:eastAsia="it-IT"/>
    </w:rPr>
  </w:style>
  <w:style w:type="character" w:customStyle="1" w:styleId="HeaderChar">
    <w:name w:val="Header Char"/>
    <w:basedOn w:val="Carpredefinitoparagrafo"/>
    <w:uiPriority w:val="99"/>
    <w:semiHidden/>
    <w:locked/>
    <w:rsid w:val="009953B5"/>
    <w:rPr>
      <w:rFonts w:cs="Times New Roman"/>
      <w:lang w:eastAsia="en-US"/>
    </w:rPr>
  </w:style>
  <w:style w:type="character" w:customStyle="1" w:styleId="IntestazioneCarattere">
    <w:name w:val="Intestazione Carattere"/>
    <w:link w:val="Intestazione"/>
    <w:uiPriority w:val="99"/>
    <w:locked/>
    <w:rsid w:val="004A1CD7"/>
    <w:rPr>
      <w:sz w:val="24"/>
    </w:rPr>
  </w:style>
  <w:style w:type="paragraph" w:styleId="Pidipagina">
    <w:name w:val="footer"/>
    <w:basedOn w:val="Normale"/>
    <w:link w:val="PidipaginaCarattere"/>
    <w:uiPriority w:val="99"/>
    <w:rsid w:val="004A1CD7"/>
    <w:pPr>
      <w:tabs>
        <w:tab w:val="center" w:pos="4819"/>
        <w:tab w:val="right" w:pos="9638"/>
      </w:tabs>
      <w:spacing w:after="0" w:line="240" w:lineRule="auto"/>
    </w:pPr>
    <w:rPr>
      <w:sz w:val="24"/>
      <w:szCs w:val="20"/>
      <w:lang w:eastAsia="it-IT"/>
    </w:rPr>
  </w:style>
  <w:style w:type="character" w:customStyle="1" w:styleId="FooterChar">
    <w:name w:val="Footer Char"/>
    <w:basedOn w:val="Carpredefinitoparagrafo"/>
    <w:uiPriority w:val="99"/>
    <w:semiHidden/>
    <w:locked/>
    <w:rsid w:val="009953B5"/>
    <w:rPr>
      <w:rFonts w:cs="Times New Roman"/>
      <w:lang w:eastAsia="en-US"/>
    </w:rPr>
  </w:style>
  <w:style w:type="character" w:customStyle="1" w:styleId="PidipaginaCarattere">
    <w:name w:val="Piè di pagina Carattere"/>
    <w:link w:val="Pidipagina"/>
    <w:uiPriority w:val="99"/>
    <w:locked/>
    <w:rsid w:val="004A1CD7"/>
    <w:rPr>
      <w:sz w:val="24"/>
    </w:rPr>
  </w:style>
  <w:style w:type="character" w:styleId="Enfasigrassetto">
    <w:name w:val="Strong"/>
    <w:basedOn w:val="Carpredefinitoparagrafo"/>
    <w:uiPriority w:val="99"/>
    <w:qFormat/>
    <w:locked/>
    <w:rsid w:val="004A1CD7"/>
    <w:rPr>
      <w:rFonts w:cs="Times New Roman"/>
      <w:b/>
    </w:rPr>
  </w:style>
  <w:style w:type="paragraph" w:customStyle="1" w:styleId="Nessunaspaziatura2">
    <w:name w:val="Nessuna spaziatura2"/>
    <w:link w:val="NessunaspaziaturaCarattere"/>
    <w:uiPriority w:val="99"/>
    <w:rsid w:val="004A1CD7"/>
  </w:style>
  <w:style w:type="character" w:customStyle="1" w:styleId="NessunaspaziaturaCarattere">
    <w:name w:val="Nessuna spaziatura Carattere"/>
    <w:link w:val="Nessunaspaziatura2"/>
    <w:uiPriority w:val="99"/>
    <w:locked/>
    <w:rsid w:val="004A1CD7"/>
    <w:rPr>
      <w:sz w:val="22"/>
      <w:lang w:val="it-IT" w:eastAsia="it-IT"/>
    </w:rPr>
  </w:style>
  <w:style w:type="paragraph" w:customStyle="1" w:styleId="Titolosommario1">
    <w:name w:val="Titolo sommario1"/>
    <w:basedOn w:val="Titolo1"/>
    <w:next w:val="Normale"/>
    <w:uiPriority w:val="99"/>
    <w:rsid w:val="004A1CD7"/>
    <w:pPr>
      <w:keepLines/>
      <w:spacing w:before="480" w:after="0" w:line="276" w:lineRule="auto"/>
      <w:outlineLvl w:val="9"/>
    </w:pPr>
    <w:rPr>
      <w:color w:val="365F91"/>
      <w:kern w:val="0"/>
      <w:sz w:val="28"/>
      <w:szCs w:val="28"/>
      <w:lang w:eastAsia="en-US"/>
    </w:rPr>
  </w:style>
  <w:style w:type="paragraph" w:styleId="Sommario2">
    <w:name w:val="toc 2"/>
    <w:basedOn w:val="Normale"/>
    <w:next w:val="Normale"/>
    <w:autoRedefine/>
    <w:uiPriority w:val="99"/>
    <w:locked/>
    <w:rsid w:val="004A1CD7"/>
    <w:pPr>
      <w:spacing w:after="0" w:line="240" w:lineRule="auto"/>
      <w:ind w:left="240"/>
    </w:pPr>
    <w:rPr>
      <w:rFonts w:ascii="Times New Roman" w:hAnsi="Times New Roman"/>
      <w:sz w:val="24"/>
      <w:szCs w:val="24"/>
      <w:lang w:eastAsia="it-IT"/>
    </w:rPr>
  </w:style>
  <w:style w:type="table" w:styleId="Tabellacontemporanea">
    <w:name w:val="Table Contemporary"/>
    <w:basedOn w:val="Tabellanormale"/>
    <w:uiPriority w:val="99"/>
    <w:rsid w:val="004A1CD7"/>
    <w:rPr>
      <w:rFonts w:ascii="Times New Roman" w:hAnsi="Times New Roman"/>
      <w:sz w:val="20"/>
      <w:szCs w:val="20"/>
    </w:rPr>
    <w:tblPr>
      <w:tblStyleRowBandSize w:val="1"/>
      <w:tblBorders>
        <w:insideH w:val="single" w:sz="18" w:space="0" w:color="FFFFFF"/>
        <w:insideV w:val="single" w:sz="18" w:space="0" w:color="FFFFFF"/>
      </w:tblBorders>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ellaeffetti3D1">
    <w:name w:val="Table 3D effects 1"/>
    <w:basedOn w:val="Tabellanormale"/>
    <w:uiPriority w:val="99"/>
    <w:rsid w:val="004A1CD7"/>
    <w:rPr>
      <w:rFonts w:ascii="Times New Roman" w:hAnsi="Times New Roman"/>
      <w:sz w:val="20"/>
      <w:szCs w:val="20"/>
    </w:rP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rsid w:val="004A1CD7"/>
    <w:rPr>
      <w:rFonts w:ascii="Times New Roman" w:hAnsi="Times New Roman"/>
      <w:sz w:val="20"/>
      <w:szCs w:val="20"/>
    </w:rPr>
    <w:tblPr>
      <w:tblStyleRowBandSize w:val="1"/>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ellaeffetti3D3">
    <w:name w:val="Table 3D effects 3"/>
    <w:basedOn w:val="Tabellanormale"/>
    <w:uiPriority w:val="99"/>
    <w:rsid w:val="004A1CD7"/>
    <w:rPr>
      <w:rFonts w:ascii="Times New Roman" w:hAnsi="Times New Roman"/>
      <w:sz w:val="20"/>
      <w:szCs w:val="20"/>
    </w:rPr>
    <w:tblPr>
      <w:tblStyleRowBandSize w:val="1"/>
      <w:tblStyleColBandSize w:val="1"/>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character" w:customStyle="1" w:styleId="FontStyle49">
    <w:name w:val="Font Style49"/>
    <w:uiPriority w:val="99"/>
    <w:rsid w:val="004A1CD7"/>
    <w:rPr>
      <w:rFonts w:ascii="Garamond" w:hAnsi="Garamond"/>
      <w:color w:val="000000"/>
      <w:sz w:val="22"/>
    </w:rPr>
  </w:style>
  <w:style w:type="paragraph" w:customStyle="1" w:styleId="Style35">
    <w:name w:val="Style35"/>
    <w:basedOn w:val="Normale"/>
    <w:uiPriority w:val="99"/>
    <w:rsid w:val="004A1CD7"/>
    <w:pPr>
      <w:widowControl w:val="0"/>
      <w:autoSpaceDE w:val="0"/>
      <w:autoSpaceDN w:val="0"/>
      <w:adjustRightInd w:val="0"/>
      <w:spacing w:after="0" w:line="202" w:lineRule="exact"/>
      <w:jc w:val="both"/>
    </w:pPr>
    <w:rPr>
      <w:rFonts w:ascii="Angsana New" w:hAnsi="Angsana New"/>
      <w:sz w:val="24"/>
      <w:szCs w:val="24"/>
      <w:lang w:eastAsia="it-IT" w:bidi="th-TH"/>
    </w:rPr>
  </w:style>
  <w:style w:type="character" w:customStyle="1" w:styleId="FontStyle44">
    <w:name w:val="Font Style44"/>
    <w:uiPriority w:val="99"/>
    <w:rsid w:val="004A1CD7"/>
    <w:rPr>
      <w:rFonts w:ascii="Garamond" w:hAnsi="Garamond"/>
      <w:i/>
      <w:color w:val="000000"/>
      <w:sz w:val="16"/>
    </w:rPr>
  </w:style>
  <w:style w:type="character" w:customStyle="1" w:styleId="FontStyle45">
    <w:name w:val="Font Style45"/>
    <w:uiPriority w:val="99"/>
    <w:rsid w:val="004A1CD7"/>
    <w:rPr>
      <w:rFonts w:ascii="Garamond" w:hAnsi="Garamond"/>
      <w:color w:val="000000"/>
      <w:sz w:val="16"/>
    </w:rPr>
  </w:style>
  <w:style w:type="paragraph" w:customStyle="1" w:styleId="Style2">
    <w:name w:val="Style2"/>
    <w:basedOn w:val="Normale"/>
    <w:uiPriority w:val="99"/>
    <w:rsid w:val="004A1CD7"/>
    <w:pPr>
      <w:widowControl w:val="0"/>
      <w:autoSpaceDE w:val="0"/>
      <w:autoSpaceDN w:val="0"/>
      <w:adjustRightInd w:val="0"/>
      <w:spacing w:after="0" w:line="355" w:lineRule="exact"/>
    </w:pPr>
    <w:rPr>
      <w:rFonts w:ascii="Georgia" w:hAnsi="Georgia"/>
      <w:sz w:val="24"/>
      <w:szCs w:val="24"/>
      <w:lang w:eastAsia="it-IT"/>
    </w:rPr>
  </w:style>
  <w:style w:type="character" w:customStyle="1" w:styleId="FontStyle14">
    <w:name w:val="Font Style14"/>
    <w:uiPriority w:val="99"/>
    <w:rsid w:val="004A1CD7"/>
    <w:rPr>
      <w:rFonts w:ascii="Book Antiqua" w:hAnsi="Book Antiqua"/>
      <w:color w:val="000000"/>
      <w:sz w:val="22"/>
    </w:rPr>
  </w:style>
  <w:style w:type="paragraph" w:customStyle="1" w:styleId="Style4">
    <w:name w:val="Style4"/>
    <w:basedOn w:val="Normale"/>
    <w:uiPriority w:val="99"/>
    <w:rsid w:val="004A1CD7"/>
    <w:pPr>
      <w:widowControl w:val="0"/>
      <w:autoSpaceDE w:val="0"/>
      <w:autoSpaceDN w:val="0"/>
      <w:adjustRightInd w:val="0"/>
      <w:spacing w:after="0" w:line="355" w:lineRule="exact"/>
      <w:ind w:hanging="331"/>
    </w:pPr>
    <w:rPr>
      <w:rFonts w:ascii="Georgia" w:hAnsi="Georgia"/>
      <w:sz w:val="24"/>
      <w:szCs w:val="24"/>
      <w:lang w:eastAsia="it-IT"/>
    </w:rPr>
  </w:style>
  <w:style w:type="character" w:customStyle="1" w:styleId="FontStyle13">
    <w:name w:val="Font Style13"/>
    <w:uiPriority w:val="99"/>
    <w:rsid w:val="004A1CD7"/>
    <w:rPr>
      <w:rFonts w:ascii="Georgia" w:hAnsi="Georgia"/>
      <w:i/>
      <w:color w:val="000000"/>
      <w:spacing w:val="10"/>
      <w:sz w:val="22"/>
    </w:rPr>
  </w:style>
  <w:style w:type="paragraph" w:customStyle="1" w:styleId="Style9">
    <w:name w:val="Style9"/>
    <w:basedOn w:val="Normale"/>
    <w:uiPriority w:val="99"/>
    <w:rsid w:val="004A1CD7"/>
    <w:pPr>
      <w:widowControl w:val="0"/>
      <w:autoSpaceDE w:val="0"/>
      <w:autoSpaceDN w:val="0"/>
      <w:adjustRightInd w:val="0"/>
      <w:spacing w:after="0" w:line="226" w:lineRule="exact"/>
      <w:ind w:hanging="360"/>
      <w:jc w:val="both"/>
    </w:pPr>
    <w:rPr>
      <w:rFonts w:ascii="Angsana New" w:hAnsi="Angsana New"/>
      <w:sz w:val="24"/>
      <w:szCs w:val="24"/>
      <w:lang w:eastAsia="it-IT" w:bidi="th-TH"/>
    </w:rPr>
  </w:style>
  <w:style w:type="paragraph" w:customStyle="1" w:styleId="Style13">
    <w:name w:val="Style13"/>
    <w:basedOn w:val="Normale"/>
    <w:uiPriority w:val="99"/>
    <w:rsid w:val="004A1CD7"/>
    <w:pPr>
      <w:widowControl w:val="0"/>
      <w:autoSpaceDE w:val="0"/>
      <w:autoSpaceDN w:val="0"/>
      <w:adjustRightInd w:val="0"/>
      <w:spacing w:after="0" w:line="269" w:lineRule="exact"/>
      <w:jc w:val="both"/>
    </w:pPr>
    <w:rPr>
      <w:rFonts w:ascii="Angsana New" w:hAnsi="Angsana New"/>
      <w:sz w:val="24"/>
      <w:szCs w:val="24"/>
      <w:lang w:eastAsia="it-IT" w:bidi="th-TH"/>
    </w:rPr>
  </w:style>
  <w:style w:type="paragraph" w:customStyle="1" w:styleId="Style26">
    <w:name w:val="Style26"/>
    <w:basedOn w:val="Normale"/>
    <w:uiPriority w:val="99"/>
    <w:rsid w:val="004A1CD7"/>
    <w:pPr>
      <w:widowControl w:val="0"/>
      <w:autoSpaceDE w:val="0"/>
      <w:autoSpaceDN w:val="0"/>
      <w:adjustRightInd w:val="0"/>
      <w:spacing w:after="0" w:line="224" w:lineRule="exact"/>
      <w:jc w:val="both"/>
    </w:pPr>
    <w:rPr>
      <w:rFonts w:ascii="Angsana New" w:hAnsi="Angsana New"/>
      <w:sz w:val="24"/>
      <w:szCs w:val="24"/>
      <w:lang w:eastAsia="it-IT" w:bidi="th-TH"/>
    </w:rPr>
  </w:style>
  <w:style w:type="character" w:customStyle="1" w:styleId="FontStyle41">
    <w:name w:val="Font Style41"/>
    <w:uiPriority w:val="99"/>
    <w:rsid w:val="004A1CD7"/>
    <w:rPr>
      <w:rFonts w:ascii="Garamond" w:hAnsi="Garamond"/>
      <w:color w:val="000000"/>
      <w:sz w:val="18"/>
    </w:rPr>
  </w:style>
  <w:style w:type="character" w:customStyle="1" w:styleId="provvnumcomma">
    <w:name w:val="provv_numcomma"/>
    <w:uiPriority w:val="99"/>
    <w:rsid w:val="004A1CD7"/>
  </w:style>
  <w:style w:type="character" w:styleId="Numeroriga">
    <w:name w:val="line number"/>
    <w:basedOn w:val="Carpredefinitoparagrafo"/>
    <w:uiPriority w:val="99"/>
    <w:rsid w:val="004A1CD7"/>
    <w:rPr>
      <w:rFonts w:cs="Times New Roman"/>
    </w:rPr>
  </w:style>
  <w:style w:type="paragraph" w:styleId="Corpodeltesto2">
    <w:name w:val="Body Text 2"/>
    <w:basedOn w:val="Normale"/>
    <w:link w:val="Corpodeltesto2Carattere"/>
    <w:uiPriority w:val="99"/>
    <w:rsid w:val="004A1CD7"/>
    <w:pPr>
      <w:spacing w:after="120" w:line="480" w:lineRule="auto"/>
    </w:pPr>
    <w:rPr>
      <w:sz w:val="24"/>
      <w:szCs w:val="20"/>
      <w:lang w:eastAsia="it-IT"/>
    </w:rPr>
  </w:style>
  <w:style w:type="character" w:customStyle="1" w:styleId="BodyText2Char">
    <w:name w:val="Body Text 2 Char"/>
    <w:basedOn w:val="Carpredefinitoparagrafo"/>
    <w:uiPriority w:val="99"/>
    <w:semiHidden/>
    <w:locked/>
    <w:rsid w:val="009953B5"/>
    <w:rPr>
      <w:rFonts w:cs="Times New Roman"/>
      <w:lang w:eastAsia="en-US"/>
    </w:rPr>
  </w:style>
  <w:style w:type="character" w:customStyle="1" w:styleId="Corpodeltesto2Carattere">
    <w:name w:val="Corpo del testo 2 Carattere"/>
    <w:link w:val="Corpodeltesto2"/>
    <w:uiPriority w:val="99"/>
    <w:locked/>
    <w:rsid w:val="004A1CD7"/>
    <w:rPr>
      <w:sz w:val="24"/>
    </w:rPr>
  </w:style>
  <w:style w:type="table" w:styleId="Grigliatabella">
    <w:name w:val="Table Grid"/>
    <w:basedOn w:val="Tabellanormale"/>
    <w:uiPriority w:val="99"/>
    <w:locked/>
    <w:rsid w:val="004A1CD7"/>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pagina">
    <w:name w:val="page number"/>
    <w:basedOn w:val="Carpredefinitoparagrafo"/>
    <w:uiPriority w:val="99"/>
    <w:rsid w:val="004A1CD7"/>
    <w:rPr>
      <w:rFonts w:cs="Times New Roman"/>
    </w:rPr>
  </w:style>
  <w:style w:type="paragraph" w:customStyle="1" w:styleId="Style5">
    <w:name w:val="Style5"/>
    <w:basedOn w:val="Normale"/>
    <w:uiPriority w:val="99"/>
    <w:rsid w:val="004A1CD7"/>
    <w:pPr>
      <w:widowControl w:val="0"/>
      <w:autoSpaceDE w:val="0"/>
      <w:autoSpaceDN w:val="0"/>
      <w:adjustRightInd w:val="0"/>
      <w:spacing w:after="0" w:line="278" w:lineRule="exact"/>
    </w:pPr>
    <w:rPr>
      <w:rFonts w:ascii="Times New Roman" w:hAnsi="Times New Roman"/>
      <w:sz w:val="24"/>
      <w:szCs w:val="24"/>
      <w:lang w:eastAsia="it-IT"/>
    </w:rPr>
  </w:style>
  <w:style w:type="character" w:customStyle="1" w:styleId="FontStyle26">
    <w:name w:val="Font Style26"/>
    <w:uiPriority w:val="99"/>
    <w:rsid w:val="004A1CD7"/>
    <w:rPr>
      <w:rFonts w:ascii="Times New Roman" w:hAnsi="Times New Roman"/>
      <w:color w:val="000000"/>
      <w:sz w:val="20"/>
    </w:rPr>
  </w:style>
  <w:style w:type="paragraph" w:customStyle="1" w:styleId="Style12">
    <w:name w:val="Style12"/>
    <w:basedOn w:val="Normale"/>
    <w:uiPriority w:val="99"/>
    <w:rsid w:val="004A1CD7"/>
    <w:pPr>
      <w:widowControl w:val="0"/>
      <w:autoSpaceDE w:val="0"/>
      <w:autoSpaceDN w:val="0"/>
      <w:adjustRightInd w:val="0"/>
      <w:spacing w:after="0" w:line="278" w:lineRule="exact"/>
      <w:ind w:firstLine="173"/>
      <w:jc w:val="both"/>
    </w:pPr>
    <w:rPr>
      <w:rFonts w:ascii="Times New Roman" w:hAnsi="Times New Roman"/>
      <w:sz w:val="24"/>
      <w:szCs w:val="24"/>
      <w:lang w:eastAsia="it-IT"/>
    </w:rPr>
  </w:style>
  <w:style w:type="character" w:styleId="Enfasicorsivo">
    <w:name w:val="Emphasis"/>
    <w:basedOn w:val="Carpredefinitoparagrafo"/>
    <w:uiPriority w:val="99"/>
    <w:qFormat/>
    <w:locked/>
    <w:rsid w:val="004A1CD7"/>
    <w:rPr>
      <w:rFonts w:cs="Times New Roman"/>
      <w:i/>
    </w:rPr>
  </w:style>
  <w:style w:type="paragraph" w:customStyle="1" w:styleId="grassetto1">
    <w:name w:val="grassetto1"/>
    <w:basedOn w:val="Normale"/>
    <w:uiPriority w:val="99"/>
    <w:rsid w:val="00CB5228"/>
    <w:pPr>
      <w:spacing w:after="24" w:line="240" w:lineRule="auto"/>
    </w:pPr>
    <w:rPr>
      <w:rFonts w:ascii="Times New Roman" w:hAnsi="Times New Roman"/>
      <w:b/>
      <w:bCs/>
      <w:sz w:val="24"/>
      <w:szCs w:val="24"/>
      <w:lang w:eastAsia="it-IT"/>
    </w:rPr>
  </w:style>
  <w:style w:type="paragraph" w:styleId="PreformattatoHTML">
    <w:name w:val="HTML Preformatted"/>
    <w:basedOn w:val="Normale"/>
    <w:link w:val="PreformattatoHTMLCarattere"/>
    <w:uiPriority w:val="99"/>
    <w:rsid w:val="00082BC5"/>
    <w:pPr>
      <w:spacing w:after="0" w:line="240" w:lineRule="auto"/>
    </w:pPr>
    <w:rPr>
      <w:rFonts w:ascii="Courier New"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locked/>
    <w:rPr>
      <w:rFonts w:ascii="Courier New" w:hAnsi="Courier New" w:cs="Courier New"/>
      <w:sz w:val="20"/>
      <w:szCs w:val="20"/>
      <w:lang w:eastAsia="en-US"/>
    </w:rPr>
  </w:style>
  <w:style w:type="character" w:styleId="Collegamentovisitato">
    <w:name w:val="FollowedHyperlink"/>
    <w:basedOn w:val="Carpredefinitoparagrafo"/>
    <w:uiPriority w:val="99"/>
    <w:rsid w:val="00E90D0B"/>
    <w:rPr>
      <w:rFonts w:cs="Times New Roman"/>
      <w:color w:val="800080"/>
      <w:u w:val="single"/>
    </w:rPr>
  </w:style>
  <w:style w:type="paragraph" w:customStyle="1" w:styleId="font5">
    <w:name w:val="font5"/>
    <w:basedOn w:val="Normale"/>
    <w:uiPriority w:val="99"/>
    <w:rsid w:val="00E90D0B"/>
    <w:pPr>
      <w:spacing w:before="100" w:beforeAutospacing="1" w:after="100" w:afterAutospacing="1" w:line="240" w:lineRule="auto"/>
    </w:pPr>
    <w:rPr>
      <w:rFonts w:ascii="Times New Roman" w:hAnsi="Times New Roman"/>
      <w:lang w:eastAsia="it-IT"/>
    </w:rPr>
  </w:style>
  <w:style w:type="paragraph" w:customStyle="1" w:styleId="font6">
    <w:name w:val="font6"/>
    <w:basedOn w:val="Normale"/>
    <w:uiPriority w:val="99"/>
    <w:rsid w:val="00E90D0B"/>
    <w:pPr>
      <w:spacing w:before="100" w:beforeAutospacing="1" w:after="100" w:afterAutospacing="1" w:line="240" w:lineRule="auto"/>
    </w:pPr>
    <w:rPr>
      <w:rFonts w:ascii="Times New Roman" w:hAnsi="Times New Roman"/>
      <w:b/>
      <w:bCs/>
      <w:lang w:eastAsia="it-IT"/>
    </w:rPr>
  </w:style>
  <w:style w:type="paragraph" w:customStyle="1" w:styleId="font7">
    <w:name w:val="font7"/>
    <w:basedOn w:val="Normale"/>
    <w:uiPriority w:val="99"/>
    <w:rsid w:val="00E90D0B"/>
    <w:pPr>
      <w:spacing w:before="100" w:beforeAutospacing="1" w:after="100" w:afterAutospacing="1" w:line="240" w:lineRule="auto"/>
    </w:pPr>
    <w:rPr>
      <w:rFonts w:ascii="Tahoma" w:hAnsi="Tahoma" w:cs="Tahoma"/>
      <w:b/>
      <w:bCs/>
      <w:color w:val="000000"/>
      <w:sz w:val="18"/>
      <w:szCs w:val="18"/>
      <w:lang w:eastAsia="it-IT"/>
    </w:rPr>
  </w:style>
  <w:style w:type="paragraph" w:customStyle="1" w:styleId="font8">
    <w:name w:val="font8"/>
    <w:basedOn w:val="Normale"/>
    <w:uiPriority w:val="99"/>
    <w:rsid w:val="00E90D0B"/>
    <w:pPr>
      <w:spacing w:before="100" w:beforeAutospacing="1" w:after="100" w:afterAutospacing="1" w:line="240" w:lineRule="auto"/>
    </w:pPr>
    <w:rPr>
      <w:rFonts w:ascii="Times New Roman" w:hAnsi="Times New Roman"/>
      <w:color w:val="FF0000"/>
      <w:lang w:eastAsia="it-IT"/>
    </w:rPr>
  </w:style>
  <w:style w:type="paragraph" w:customStyle="1" w:styleId="font9">
    <w:name w:val="font9"/>
    <w:basedOn w:val="Normale"/>
    <w:uiPriority w:val="99"/>
    <w:rsid w:val="00E90D0B"/>
    <w:pPr>
      <w:spacing w:before="100" w:beforeAutospacing="1" w:after="100" w:afterAutospacing="1" w:line="240" w:lineRule="auto"/>
    </w:pPr>
    <w:rPr>
      <w:rFonts w:ascii="Times New Roman" w:hAnsi="Times New Roman"/>
      <w:color w:val="000000"/>
      <w:lang w:eastAsia="it-IT"/>
    </w:rPr>
  </w:style>
  <w:style w:type="paragraph" w:customStyle="1" w:styleId="font10">
    <w:name w:val="font10"/>
    <w:basedOn w:val="Normale"/>
    <w:uiPriority w:val="99"/>
    <w:rsid w:val="00E90D0B"/>
    <w:pPr>
      <w:spacing w:before="100" w:beforeAutospacing="1" w:after="100" w:afterAutospacing="1" w:line="240" w:lineRule="auto"/>
    </w:pPr>
    <w:rPr>
      <w:rFonts w:ascii="Times New Roman" w:hAnsi="Times New Roman"/>
      <w:u w:val="single"/>
      <w:lang w:eastAsia="it-IT"/>
    </w:rPr>
  </w:style>
  <w:style w:type="paragraph" w:customStyle="1" w:styleId="font11">
    <w:name w:val="font11"/>
    <w:basedOn w:val="Normale"/>
    <w:uiPriority w:val="99"/>
    <w:rsid w:val="00E90D0B"/>
    <w:pPr>
      <w:spacing w:before="100" w:beforeAutospacing="1" w:after="100" w:afterAutospacing="1" w:line="240" w:lineRule="auto"/>
    </w:pPr>
    <w:rPr>
      <w:rFonts w:ascii="Times New Roman" w:hAnsi="Times New Roman"/>
      <w:color w:val="FF0000"/>
      <w:lang w:eastAsia="it-IT"/>
    </w:rPr>
  </w:style>
  <w:style w:type="paragraph" w:customStyle="1" w:styleId="font12">
    <w:name w:val="font12"/>
    <w:basedOn w:val="Normale"/>
    <w:uiPriority w:val="99"/>
    <w:rsid w:val="00E90D0B"/>
    <w:pPr>
      <w:spacing w:before="100" w:beforeAutospacing="1" w:after="100" w:afterAutospacing="1" w:line="240" w:lineRule="auto"/>
    </w:pPr>
    <w:rPr>
      <w:rFonts w:ascii="Times New Roman" w:hAnsi="Times New Roman"/>
      <w:lang w:eastAsia="it-IT"/>
    </w:rPr>
  </w:style>
  <w:style w:type="paragraph" w:customStyle="1" w:styleId="font13">
    <w:name w:val="font13"/>
    <w:basedOn w:val="Normale"/>
    <w:uiPriority w:val="99"/>
    <w:rsid w:val="00E90D0B"/>
    <w:pPr>
      <w:spacing w:before="100" w:beforeAutospacing="1" w:after="100" w:afterAutospacing="1" w:line="240" w:lineRule="auto"/>
    </w:pPr>
    <w:rPr>
      <w:rFonts w:ascii="Times New Roman" w:hAnsi="Times New Roman"/>
      <w:i/>
      <w:iCs/>
      <w:lang w:eastAsia="it-IT"/>
    </w:rPr>
  </w:style>
  <w:style w:type="paragraph" w:customStyle="1" w:styleId="font14">
    <w:name w:val="font14"/>
    <w:basedOn w:val="Normale"/>
    <w:uiPriority w:val="99"/>
    <w:rsid w:val="00E90D0B"/>
    <w:pPr>
      <w:spacing w:before="100" w:beforeAutospacing="1" w:after="100" w:afterAutospacing="1" w:line="240" w:lineRule="auto"/>
    </w:pPr>
    <w:rPr>
      <w:rFonts w:ascii="Times New Roman" w:hAnsi="Times New Roman"/>
      <w:i/>
      <w:iCs/>
      <w:u w:val="single"/>
      <w:lang w:eastAsia="it-IT"/>
    </w:rPr>
  </w:style>
  <w:style w:type="paragraph" w:customStyle="1" w:styleId="font15">
    <w:name w:val="font15"/>
    <w:basedOn w:val="Normale"/>
    <w:uiPriority w:val="99"/>
    <w:rsid w:val="00E90D0B"/>
    <w:pPr>
      <w:spacing w:before="100" w:beforeAutospacing="1" w:after="100" w:afterAutospacing="1" w:line="240" w:lineRule="auto"/>
    </w:pPr>
    <w:rPr>
      <w:rFonts w:ascii="Times New Roman" w:hAnsi="Times New Roman"/>
      <w:b/>
      <w:bCs/>
      <w:u w:val="double"/>
      <w:lang w:eastAsia="it-IT"/>
    </w:rPr>
  </w:style>
  <w:style w:type="paragraph" w:customStyle="1" w:styleId="xl65">
    <w:name w:val="xl65"/>
    <w:basedOn w:val="Normale"/>
    <w:uiPriority w:val="99"/>
    <w:rsid w:val="00E90D0B"/>
    <w:pPr>
      <w:spacing w:before="100" w:beforeAutospacing="1" w:after="100" w:afterAutospacing="1" w:line="240" w:lineRule="auto"/>
      <w:jc w:val="center"/>
    </w:pPr>
    <w:rPr>
      <w:rFonts w:ascii="Times New Roman" w:hAnsi="Times New Roman"/>
      <w:sz w:val="24"/>
      <w:szCs w:val="24"/>
      <w:lang w:eastAsia="it-IT"/>
    </w:rPr>
  </w:style>
  <w:style w:type="paragraph" w:customStyle="1" w:styleId="xl66">
    <w:name w:val="xl66"/>
    <w:basedOn w:val="Normale"/>
    <w:uiPriority w:val="99"/>
    <w:rsid w:val="00E90D0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67">
    <w:name w:val="xl67"/>
    <w:basedOn w:val="Normale"/>
    <w:uiPriority w:val="99"/>
    <w:rsid w:val="00E90D0B"/>
    <w:pPr>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68">
    <w:name w:val="xl68"/>
    <w:basedOn w:val="Normale"/>
    <w:uiPriority w:val="99"/>
    <w:rsid w:val="00E90D0B"/>
    <w:pPr>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69">
    <w:name w:val="xl69"/>
    <w:basedOn w:val="Normale"/>
    <w:uiPriority w:val="99"/>
    <w:rsid w:val="00E90D0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70">
    <w:name w:val="xl70"/>
    <w:basedOn w:val="Normale"/>
    <w:uiPriority w:val="99"/>
    <w:rsid w:val="00E90D0B"/>
    <w:pP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71">
    <w:name w:val="xl71"/>
    <w:basedOn w:val="Normale"/>
    <w:uiPriority w:val="99"/>
    <w:rsid w:val="00E90D0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72">
    <w:name w:val="xl72"/>
    <w:basedOn w:val="Normale"/>
    <w:uiPriority w:val="99"/>
    <w:rsid w:val="00E90D0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73">
    <w:name w:val="xl73"/>
    <w:basedOn w:val="Normale"/>
    <w:uiPriority w:val="99"/>
    <w:rsid w:val="00E90D0B"/>
    <w:pPr>
      <w:pBdr>
        <w:top w:val="single" w:sz="4" w:space="0" w:color="auto"/>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74">
    <w:name w:val="xl74"/>
    <w:basedOn w:val="Normale"/>
    <w:uiPriority w:val="99"/>
    <w:rsid w:val="00E90D0B"/>
    <w:pPr>
      <w:pBdr>
        <w:top w:val="single" w:sz="4" w:space="0" w:color="auto"/>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75">
    <w:name w:val="xl75"/>
    <w:basedOn w:val="Normale"/>
    <w:uiPriority w:val="99"/>
    <w:rsid w:val="00E90D0B"/>
    <w:pPr>
      <w:pBdr>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76">
    <w:name w:val="xl76"/>
    <w:basedOn w:val="Normale"/>
    <w:uiPriority w:val="99"/>
    <w:rsid w:val="00E90D0B"/>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77">
    <w:name w:val="xl77"/>
    <w:basedOn w:val="Normale"/>
    <w:uiPriority w:val="99"/>
    <w:rsid w:val="00E90D0B"/>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78">
    <w:name w:val="xl78"/>
    <w:basedOn w:val="Normale"/>
    <w:uiPriority w:val="99"/>
    <w:rsid w:val="00E90D0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79">
    <w:name w:val="xl79"/>
    <w:basedOn w:val="Normale"/>
    <w:uiPriority w:val="99"/>
    <w:rsid w:val="00E90D0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0">
    <w:name w:val="xl80"/>
    <w:basedOn w:val="Normale"/>
    <w:uiPriority w:val="99"/>
    <w:rsid w:val="00E90D0B"/>
    <w:pPr>
      <w:pBdr>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1">
    <w:name w:val="xl81"/>
    <w:basedOn w:val="Normale"/>
    <w:uiPriority w:val="99"/>
    <w:rsid w:val="00E90D0B"/>
    <w:pP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2">
    <w:name w:val="xl82"/>
    <w:basedOn w:val="Normale"/>
    <w:uiPriority w:val="99"/>
    <w:rsid w:val="00E90D0B"/>
    <w:pPr>
      <w:pBdr>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3">
    <w:name w:val="xl83"/>
    <w:basedOn w:val="Normale"/>
    <w:uiPriority w:val="99"/>
    <w:rsid w:val="00E90D0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b/>
      <w:bCs/>
      <w:sz w:val="24"/>
      <w:szCs w:val="24"/>
      <w:lang w:eastAsia="it-IT"/>
    </w:rPr>
  </w:style>
  <w:style w:type="paragraph" w:customStyle="1" w:styleId="xl84">
    <w:name w:val="xl84"/>
    <w:basedOn w:val="Normale"/>
    <w:uiPriority w:val="99"/>
    <w:rsid w:val="00E90D0B"/>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85">
    <w:name w:val="xl85"/>
    <w:basedOn w:val="Normale"/>
    <w:uiPriority w:val="99"/>
    <w:rsid w:val="00E90D0B"/>
    <w:pPr>
      <w:pBdr>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b/>
      <w:bCs/>
      <w:sz w:val="24"/>
      <w:szCs w:val="24"/>
      <w:lang w:eastAsia="it-IT"/>
    </w:rPr>
  </w:style>
  <w:style w:type="paragraph" w:customStyle="1" w:styleId="xl86">
    <w:name w:val="xl86"/>
    <w:basedOn w:val="Normale"/>
    <w:uiPriority w:val="99"/>
    <w:rsid w:val="00E90D0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7">
    <w:name w:val="xl87"/>
    <w:basedOn w:val="Normale"/>
    <w:uiPriority w:val="99"/>
    <w:rsid w:val="00E90D0B"/>
    <w:pPr>
      <w:pBdr>
        <w:top w:val="single" w:sz="4" w:space="0" w:color="auto"/>
        <w:left w:val="single" w:sz="4" w:space="0" w:color="auto"/>
        <w:right w:val="single" w:sz="4" w:space="0" w:color="auto"/>
      </w:pBdr>
      <w:shd w:val="clear" w:color="auto" w:fill="969696"/>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8">
    <w:name w:val="xl88"/>
    <w:basedOn w:val="Normale"/>
    <w:uiPriority w:val="99"/>
    <w:rsid w:val="00E90D0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89">
    <w:name w:val="xl89"/>
    <w:basedOn w:val="Normale"/>
    <w:uiPriority w:val="99"/>
    <w:rsid w:val="00E90D0B"/>
    <w:pPr>
      <w:pBdr>
        <w:top w:val="single" w:sz="4" w:space="0" w:color="auto"/>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b/>
      <w:bCs/>
      <w:sz w:val="24"/>
      <w:szCs w:val="24"/>
      <w:lang w:eastAsia="it-IT"/>
    </w:rPr>
  </w:style>
  <w:style w:type="paragraph" w:customStyle="1" w:styleId="xl90">
    <w:name w:val="xl90"/>
    <w:basedOn w:val="Normale"/>
    <w:uiPriority w:val="99"/>
    <w:rsid w:val="00E90D0B"/>
    <w:pPr>
      <w:pBdr>
        <w:left w:val="single" w:sz="4" w:space="0" w:color="auto"/>
        <w:bottom w:val="single" w:sz="4" w:space="0" w:color="auto"/>
        <w:right w:val="single" w:sz="4" w:space="0" w:color="auto"/>
      </w:pBdr>
      <w:shd w:val="clear" w:color="auto" w:fill="969696"/>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91">
    <w:name w:val="xl91"/>
    <w:basedOn w:val="Normale"/>
    <w:uiPriority w:val="99"/>
    <w:rsid w:val="00E90D0B"/>
    <w:pPr>
      <w:pBdr>
        <w:left w:val="single" w:sz="4" w:space="0" w:color="auto"/>
        <w:right w:val="single" w:sz="4" w:space="0" w:color="auto"/>
      </w:pBdr>
      <w:shd w:val="clear" w:color="auto" w:fill="969696"/>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92">
    <w:name w:val="xl92"/>
    <w:basedOn w:val="Normale"/>
    <w:uiPriority w:val="99"/>
    <w:rsid w:val="00E90D0B"/>
    <w:pPr>
      <w:pBdr>
        <w:top w:val="single" w:sz="4" w:space="0" w:color="auto"/>
        <w:left w:val="single" w:sz="4" w:space="0" w:color="auto"/>
        <w:bottom w:val="single" w:sz="4" w:space="0" w:color="auto"/>
      </w:pBdr>
      <w:shd w:val="clear" w:color="auto" w:fill="C0C0C0"/>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93">
    <w:name w:val="xl93"/>
    <w:basedOn w:val="Normale"/>
    <w:uiPriority w:val="99"/>
    <w:rsid w:val="00E90D0B"/>
    <w:pPr>
      <w:pBdr>
        <w:bottom w:val="single" w:sz="8" w:space="0" w:color="auto"/>
      </w:pBdr>
      <w:shd w:val="clear" w:color="auto" w:fill="C0C0C0"/>
      <w:spacing w:before="100" w:beforeAutospacing="1" w:after="100" w:afterAutospacing="1" w:line="240" w:lineRule="auto"/>
      <w:jc w:val="center"/>
      <w:textAlignment w:val="center"/>
    </w:pPr>
    <w:rPr>
      <w:rFonts w:ascii="Book Antiqua" w:hAnsi="Book Antiqua"/>
      <w:b/>
      <w:bCs/>
      <w:sz w:val="18"/>
      <w:szCs w:val="18"/>
      <w:lang w:eastAsia="it-IT"/>
    </w:rPr>
  </w:style>
  <w:style w:type="paragraph" w:customStyle="1" w:styleId="xl94">
    <w:name w:val="xl94"/>
    <w:basedOn w:val="Normale"/>
    <w:uiPriority w:val="99"/>
    <w:rsid w:val="00E90D0B"/>
    <w:pPr>
      <w:pBdr>
        <w:top w:val="single" w:sz="4" w:space="0" w:color="auto"/>
        <w:left w:val="single" w:sz="4" w:space="0" w:color="auto"/>
        <w:bottom w:val="single" w:sz="4" w:space="0" w:color="auto"/>
      </w:pBdr>
      <w:shd w:val="clear" w:color="auto" w:fill="FFFFFF"/>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95">
    <w:name w:val="xl95"/>
    <w:basedOn w:val="Normale"/>
    <w:uiPriority w:val="99"/>
    <w:rsid w:val="00E90D0B"/>
    <w:pPr>
      <w:pBdr>
        <w:top w:val="single" w:sz="4" w:space="0" w:color="auto"/>
        <w:left w:val="single" w:sz="4" w:space="0" w:color="auto"/>
        <w:bottom w:val="single" w:sz="4" w:space="0" w:color="auto"/>
      </w:pBdr>
      <w:shd w:val="clear" w:color="auto" w:fill="969696"/>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96">
    <w:name w:val="xl96"/>
    <w:basedOn w:val="Normale"/>
    <w:uiPriority w:val="99"/>
    <w:rsid w:val="00E90D0B"/>
    <w:pPr>
      <w:pBdr>
        <w:top w:val="single" w:sz="4" w:space="0" w:color="auto"/>
        <w:left w:val="single" w:sz="4" w:space="0" w:color="auto"/>
      </w:pBdr>
      <w:shd w:val="clear" w:color="auto" w:fill="FFFFFF"/>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97">
    <w:name w:val="xl97"/>
    <w:basedOn w:val="Normale"/>
    <w:uiPriority w:val="99"/>
    <w:rsid w:val="00E90D0B"/>
    <w:pPr>
      <w:pBdr>
        <w:top w:val="single" w:sz="4" w:space="0" w:color="auto"/>
        <w:left w:val="single" w:sz="4" w:space="0" w:color="auto"/>
      </w:pBdr>
      <w:shd w:val="clear" w:color="auto" w:fill="969696"/>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98">
    <w:name w:val="xl98"/>
    <w:basedOn w:val="Normale"/>
    <w:uiPriority w:val="99"/>
    <w:rsid w:val="00E90D0B"/>
    <w:pPr>
      <w:pBdr>
        <w:left w:val="single" w:sz="4" w:space="0" w:color="auto"/>
        <w:bottom w:val="single" w:sz="4" w:space="0" w:color="auto"/>
      </w:pBdr>
      <w:shd w:val="clear" w:color="auto" w:fill="969696"/>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99">
    <w:name w:val="xl99"/>
    <w:basedOn w:val="Normale"/>
    <w:uiPriority w:val="99"/>
    <w:rsid w:val="00E90D0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textAlignment w:val="center"/>
    </w:pPr>
    <w:rPr>
      <w:rFonts w:ascii="Book Antiqua" w:hAnsi="Book Antiqua"/>
      <w:b/>
      <w:bCs/>
      <w:sz w:val="18"/>
      <w:szCs w:val="18"/>
      <w:lang w:eastAsia="it-IT"/>
    </w:rPr>
  </w:style>
  <w:style w:type="paragraph" w:customStyle="1" w:styleId="xl100">
    <w:name w:val="xl100"/>
    <w:basedOn w:val="Normale"/>
    <w:uiPriority w:val="99"/>
    <w:rsid w:val="00E90D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szCs w:val="24"/>
      <w:lang w:eastAsia="it-IT"/>
    </w:rPr>
  </w:style>
  <w:style w:type="paragraph" w:customStyle="1" w:styleId="xl101">
    <w:name w:val="xl101"/>
    <w:basedOn w:val="Normale"/>
    <w:uiPriority w:val="99"/>
    <w:rsid w:val="00E90D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lang w:eastAsia="it-IT"/>
    </w:rPr>
  </w:style>
  <w:style w:type="paragraph" w:customStyle="1" w:styleId="xl102">
    <w:name w:val="xl102"/>
    <w:basedOn w:val="Normale"/>
    <w:uiPriority w:val="99"/>
    <w:rsid w:val="00E90D0B"/>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103">
    <w:name w:val="xl103"/>
    <w:basedOn w:val="Normale"/>
    <w:uiPriority w:val="99"/>
    <w:rsid w:val="00E90D0B"/>
    <w:pPr>
      <w:pBdr>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104">
    <w:name w:val="xl104"/>
    <w:basedOn w:val="Normale"/>
    <w:uiPriority w:val="99"/>
    <w:rsid w:val="00E90D0B"/>
    <w:pPr>
      <w:pBdr>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105">
    <w:name w:val="xl105"/>
    <w:basedOn w:val="Normale"/>
    <w:uiPriority w:val="99"/>
    <w:rsid w:val="00E90D0B"/>
    <w:pPr>
      <w:pBdr>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106">
    <w:name w:val="xl106"/>
    <w:basedOn w:val="Normale"/>
    <w:uiPriority w:val="99"/>
    <w:rsid w:val="00E90D0B"/>
    <w:pPr>
      <w:pBdr>
        <w:top w:val="single" w:sz="4" w:space="0" w:color="auto"/>
        <w:left w:val="single" w:sz="4" w:space="0" w:color="auto"/>
        <w:right w:val="single" w:sz="4" w:space="0" w:color="auto"/>
      </w:pBdr>
      <w:shd w:val="clear" w:color="auto" w:fill="969696"/>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107">
    <w:name w:val="xl107"/>
    <w:basedOn w:val="Normale"/>
    <w:uiPriority w:val="99"/>
    <w:rsid w:val="00E90D0B"/>
    <w:pPr>
      <w:pBdr>
        <w:left w:val="single" w:sz="4" w:space="0" w:color="auto"/>
        <w:bottom w:val="single" w:sz="4" w:space="0" w:color="auto"/>
        <w:right w:val="single" w:sz="4" w:space="0" w:color="auto"/>
      </w:pBdr>
      <w:shd w:val="clear" w:color="auto" w:fill="969696"/>
      <w:spacing w:before="100" w:beforeAutospacing="1" w:after="100" w:afterAutospacing="1" w:line="240" w:lineRule="auto"/>
      <w:jc w:val="center"/>
      <w:textAlignment w:val="center"/>
    </w:pPr>
    <w:rPr>
      <w:rFonts w:ascii="Times New Roman" w:hAnsi="Times New Roman"/>
      <w:b/>
      <w:bCs/>
      <w:sz w:val="24"/>
      <w:szCs w:val="24"/>
      <w:lang w:eastAsia="it-IT"/>
    </w:rPr>
  </w:style>
  <w:style w:type="paragraph" w:customStyle="1" w:styleId="xl108">
    <w:name w:val="xl108"/>
    <w:basedOn w:val="Normale"/>
    <w:uiPriority w:val="99"/>
    <w:rsid w:val="00E90D0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240" w:lineRule="auto"/>
      <w:jc w:val="center"/>
      <w:textAlignment w:val="center"/>
    </w:pPr>
    <w:rPr>
      <w:rFonts w:ascii="Times New Roman" w:hAnsi="Times New Roman"/>
      <w:sz w:val="24"/>
      <w:szCs w:val="24"/>
      <w:lang w:eastAsia="it-IT"/>
    </w:rPr>
  </w:style>
  <w:style w:type="paragraph" w:customStyle="1" w:styleId="xl109">
    <w:name w:val="xl109"/>
    <w:basedOn w:val="Normale"/>
    <w:uiPriority w:val="99"/>
    <w:rsid w:val="00E90D0B"/>
    <w:pPr>
      <w:pBdr>
        <w:top w:val="single" w:sz="4" w:space="0" w:color="auto"/>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110">
    <w:name w:val="xl110"/>
    <w:basedOn w:val="Normale"/>
    <w:uiPriority w:val="99"/>
    <w:rsid w:val="00E90D0B"/>
    <w:pPr>
      <w:pBdr>
        <w:left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111">
    <w:name w:val="xl111"/>
    <w:basedOn w:val="Normale"/>
    <w:uiPriority w:val="99"/>
    <w:rsid w:val="00E90D0B"/>
    <w:pPr>
      <w:pBdr>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Times New Roman" w:hAnsi="Times New Roman"/>
      <w:sz w:val="24"/>
      <w:szCs w:val="24"/>
      <w:lang w:eastAsia="it-IT"/>
    </w:rPr>
  </w:style>
  <w:style w:type="paragraph" w:customStyle="1" w:styleId="xl112">
    <w:name w:val="xl112"/>
    <w:basedOn w:val="Normale"/>
    <w:uiPriority w:val="99"/>
    <w:rsid w:val="00E90D0B"/>
    <w:pPr>
      <w:pBdr>
        <w:left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Book Antiqua" w:hAnsi="Book Antiqua"/>
      <w:b/>
      <w:bCs/>
      <w:sz w:val="18"/>
      <w:szCs w:val="18"/>
      <w:lang w:eastAsia="it-IT"/>
    </w:rPr>
  </w:style>
  <w:style w:type="paragraph" w:customStyle="1" w:styleId="xl113">
    <w:name w:val="xl113"/>
    <w:basedOn w:val="Normale"/>
    <w:uiPriority w:val="99"/>
    <w:rsid w:val="00E90D0B"/>
    <w:pPr>
      <w:pBdr>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Book Antiqua" w:hAnsi="Book Antiqua"/>
      <w:b/>
      <w:bCs/>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429699">
      <w:marLeft w:val="0"/>
      <w:marRight w:val="0"/>
      <w:marTop w:val="0"/>
      <w:marBottom w:val="0"/>
      <w:divBdr>
        <w:top w:val="none" w:sz="0" w:space="0" w:color="auto"/>
        <w:left w:val="none" w:sz="0" w:space="0" w:color="auto"/>
        <w:bottom w:val="none" w:sz="0" w:space="0" w:color="auto"/>
        <w:right w:val="none" w:sz="0" w:space="0" w:color="auto"/>
      </w:divBdr>
      <w:divsChild>
        <w:div w:id="448429700">
          <w:marLeft w:val="0"/>
          <w:marRight w:val="0"/>
          <w:marTop w:val="0"/>
          <w:marBottom w:val="0"/>
          <w:divBdr>
            <w:top w:val="none" w:sz="0" w:space="0" w:color="auto"/>
            <w:left w:val="none" w:sz="0" w:space="0" w:color="auto"/>
            <w:bottom w:val="none" w:sz="0" w:space="0" w:color="auto"/>
            <w:right w:val="none" w:sz="0" w:space="0" w:color="auto"/>
          </w:divBdr>
          <w:divsChild>
            <w:div w:id="448429702">
              <w:marLeft w:val="0"/>
              <w:marRight w:val="0"/>
              <w:marTop w:val="0"/>
              <w:marBottom w:val="0"/>
              <w:divBdr>
                <w:top w:val="none" w:sz="0" w:space="0" w:color="auto"/>
                <w:left w:val="none" w:sz="0" w:space="0" w:color="auto"/>
                <w:bottom w:val="none" w:sz="0" w:space="0" w:color="auto"/>
                <w:right w:val="none" w:sz="0" w:space="0" w:color="auto"/>
              </w:divBdr>
              <w:divsChild>
                <w:div w:id="448429701">
                  <w:marLeft w:val="0"/>
                  <w:marRight w:val="0"/>
                  <w:marTop w:val="0"/>
                  <w:marBottom w:val="0"/>
                  <w:divBdr>
                    <w:top w:val="none" w:sz="0" w:space="0" w:color="auto"/>
                    <w:left w:val="none" w:sz="0" w:space="0" w:color="auto"/>
                    <w:bottom w:val="single" w:sz="8" w:space="7" w:color="000000"/>
                    <w:right w:val="none" w:sz="0" w:space="0" w:color="auto"/>
                  </w:divBdr>
                </w:div>
              </w:divsChild>
            </w:div>
          </w:divsChild>
        </w:div>
      </w:divsChild>
    </w:div>
    <w:div w:id="921911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amera.it/_dati/leg17/lavori/documentiparlamentari/IndiceETesti/038/003t01_RS/INTERO_COM.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36</Pages>
  <Words>15939</Words>
  <Characters>99086</Characters>
  <Application>Microsoft Office Word</Application>
  <DocSecurity>0</DocSecurity>
  <Lines>825</Lines>
  <Paragraphs>229</Paragraphs>
  <ScaleCrop>false</ScaleCrop>
  <Company/>
  <LinksUpToDate>false</LinksUpToDate>
  <CharactersWithSpaces>114796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PIANO TRIENNALE DI PREVENZIONE DELLA CORRUZIONE (P</dc:title>
  <dc:subject/>
  <dc:creator>Segretario Comunale</dc:creator>
  <cp:keywords/>
  <dc:description/>
  <cp:lastModifiedBy>Segretario Comunale</cp:lastModifiedBy>
  <cp:revision>8</cp:revision>
  <dcterms:created xsi:type="dcterms:W3CDTF">2017-01-29T14:47:00Z</dcterms:created>
  <dcterms:modified xsi:type="dcterms:W3CDTF">2017-01-31T09:40:00Z</dcterms:modified>
</cp:coreProperties>
</file>