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A9" w:rsidRPr="00044A67" w:rsidRDefault="008F49A9" w:rsidP="00044A67">
      <w:pPr>
        <w:autoSpaceDE w:val="0"/>
        <w:autoSpaceDN w:val="0"/>
        <w:adjustRightInd w:val="0"/>
        <w:spacing w:after="0" w:line="240" w:lineRule="auto"/>
        <w:ind w:right="-1"/>
        <w:jc w:val="right"/>
        <w:rPr>
          <w:rFonts w:cstheme="minorHAnsi"/>
          <w:b/>
          <w:bCs/>
          <w:color w:val="000000"/>
        </w:rPr>
      </w:pPr>
      <w:r>
        <w:rPr>
          <w:rFonts w:ascii="CenturyGothic-Bold" w:hAnsi="CenturyGothic-Bold" w:cs="CenturyGothic-Bold"/>
          <w:b/>
          <w:bCs/>
          <w:color w:val="000000"/>
          <w:sz w:val="18"/>
          <w:szCs w:val="18"/>
        </w:rPr>
        <w:t xml:space="preserve">Allegato </w:t>
      </w:r>
      <w:r w:rsidR="00044A67">
        <w:rPr>
          <w:rFonts w:ascii="CenturyGothic-Bold" w:hAnsi="CenturyGothic-Bold" w:cs="CenturyGothic-Bold"/>
          <w:b/>
          <w:bCs/>
          <w:color w:val="000000"/>
          <w:sz w:val="18"/>
          <w:szCs w:val="18"/>
        </w:rPr>
        <w:t xml:space="preserve"> </w:t>
      </w:r>
      <w:bookmarkStart w:id="0" w:name="_GoBack"/>
      <w:bookmarkEnd w:id="0"/>
      <w:r w:rsidR="00307F58">
        <w:rPr>
          <w:rFonts w:ascii="CenturyGothic-Bold" w:hAnsi="CenturyGothic-Bold" w:cs="CenturyGothic-Bold"/>
          <w:b/>
          <w:bCs/>
          <w:color w:val="000000"/>
          <w:sz w:val="18"/>
          <w:szCs w:val="18"/>
        </w:rPr>
        <w:t>G</w:t>
      </w:r>
      <w:r w:rsidR="00044A67">
        <w:rPr>
          <w:rFonts w:ascii="CenturyGothic-Bold" w:hAnsi="CenturyGothic-Bold" w:cs="CenturyGothic-Bold"/>
          <w:b/>
          <w:bCs/>
          <w:color w:val="000000"/>
          <w:sz w:val="18"/>
          <w:szCs w:val="18"/>
        </w:rPr>
        <w:t>)</w:t>
      </w: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r>
        <w:rPr>
          <w:rFonts w:ascii="CenturyGothic-Bold" w:hAnsi="CenturyGothic-Bold" w:cs="CenturyGothic-Bold"/>
          <w:b/>
          <w:bCs/>
          <w:color w:val="000000"/>
          <w:sz w:val="18"/>
          <w:szCs w:val="18"/>
        </w:rPr>
        <w:t>AVVISO “ASSET – ACCORDI PER LO SVILUPPO SOCIO ECONOMICO DEI TERRITORI MONTANI”</w:t>
      </w: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r>
        <w:rPr>
          <w:rFonts w:ascii="CenturyGothic-Bold" w:hAnsi="CenturyGothic-Bold" w:cs="CenturyGothic-Bold"/>
          <w:b/>
          <w:bCs/>
          <w:color w:val="000000"/>
          <w:sz w:val="18"/>
          <w:szCs w:val="18"/>
        </w:rPr>
        <w:t>LINEE GUIDA PER LA RENDICONTAZIONE</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 xml:space="preserve"> </w:t>
      </w: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r>
        <w:rPr>
          <w:rFonts w:ascii="CenturyGothic-Bold" w:hAnsi="CenturyGothic-Bold" w:cs="CenturyGothic-Bold"/>
          <w:b/>
          <w:bCs/>
          <w:color w:val="000000"/>
          <w:sz w:val="18"/>
          <w:szCs w:val="18"/>
        </w:rPr>
        <w:t>TEMPI E PROCEDURE</w:t>
      </w: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r>
        <w:rPr>
          <w:rFonts w:ascii="CenturyGothic" w:hAnsi="CenturyGothic" w:cs="CenturyGothic"/>
          <w:color w:val="000000"/>
          <w:sz w:val="18"/>
          <w:szCs w:val="18"/>
        </w:rPr>
        <w:t xml:space="preserve">I programmi di intervento devono essere </w:t>
      </w:r>
      <w:r>
        <w:rPr>
          <w:rFonts w:ascii="CenturyGothic-Bold" w:hAnsi="CenturyGothic-Bold" w:cs="CenturyGothic-Bold"/>
          <w:b/>
          <w:bCs/>
          <w:color w:val="000000"/>
          <w:sz w:val="18"/>
          <w:szCs w:val="18"/>
        </w:rPr>
        <w:t>realizzati (data ultima fattura):</w:t>
      </w:r>
    </w:p>
    <w:p w:rsidR="00044A67" w:rsidRDefault="00044A67"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r>
        <w:rPr>
          <w:rFonts w:ascii="CenturyGothic-Bold" w:hAnsi="CenturyGothic-Bold" w:cs="CenturyGothic-Bold"/>
          <w:b/>
          <w:bCs/>
          <w:color w:val="000000"/>
          <w:sz w:val="18"/>
          <w:szCs w:val="18"/>
        </w:rPr>
        <w:t>DOCUMENTAZIONE</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La rendicontazione include la seguente documentazione:</w:t>
      </w: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r>
        <w:rPr>
          <w:rFonts w:ascii="CenturyGothic-Bold" w:hAnsi="CenturyGothic-Bold" w:cs="CenturyGothic-Bold"/>
          <w:b/>
          <w:bCs/>
          <w:color w:val="000000"/>
          <w:sz w:val="18"/>
          <w:szCs w:val="18"/>
        </w:rPr>
        <w:t>A. Documentazione generale:</w:t>
      </w: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r>
        <w:rPr>
          <w:rFonts w:ascii="CenturyGothic-Bold" w:hAnsi="CenturyGothic-Bold" w:cs="CenturyGothic-Bold"/>
          <w:b/>
          <w:bCs/>
          <w:color w:val="000000"/>
          <w:sz w:val="18"/>
          <w:szCs w:val="18"/>
        </w:rPr>
        <w:t xml:space="preserve">B. Per spese in conto capitale e costi di gestione </w:t>
      </w:r>
    </w:p>
    <w:p w:rsidR="00177437" w:rsidRDefault="00177437" w:rsidP="008F49A9">
      <w:pPr>
        <w:autoSpaceDE w:val="0"/>
        <w:autoSpaceDN w:val="0"/>
        <w:adjustRightInd w:val="0"/>
        <w:spacing w:after="0" w:line="240" w:lineRule="auto"/>
        <w:ind w:right="-1"/>
        <w:jc w:val="both"/>
        <w:rPr>
          <w:rFonts w:ascii="CenturyGothic" w:hAnsi="CenturyGothic" w:cs="CenturyGothic"/>
          <w:color w:val="000000"/>
          <w:sz w:val="18"/>
          <w:szCs w:val="18"/>
        </w:rPr>
      </w:pPr>
    </w:p>
    <w:p w:rsidR="008F49A9" w:rsidRPr="008F49A9" w:rsidRDefault="008F49A9" w:rsidP="008F49A9">
      <w:pPr>
        <w:pStyle w:val="Paragrafoelenco"/>
        <w:numPr>
          <w:ilvl w:val="0"/>
          <w:numId w:val="1"/>
        </w:numPr>
        <w:autoSpaceDE w:val="0"/>
        <w:autoSpaceDN w:val="0"/>
        <w:adjustRightInd w:val="0"/>
        <w:spacing w:after="0" w:line="240" w:lineRule="auto"/>
        <w:ind w:right="-1"/>
        <w:jc w:val="both"/>
        <w:rPr>
          <w:rFonts w:ascii="CenturyGothic" w:hAnsi="CenturyGothic" w:cs="CenturyGothic"/>
          <w:color w:val="000000"/>
          <w:sz w:val="18"/>
          <w:szCs w:val="18"/>
        </w:rPr>
      </w:pPr>
      <w:r w:rsidRPr="008F49A9">
        <w:rPr>
          <w:rFonts w:ascii="CenturyGothic" w:hAnsi="CenturyGothic" w:cs="CenturyGothic"/>
          <w:color w:val="000000"/>
          <w:sz w:val="18"/>
          <w:szCs w:val="18"/>
        </w:rPr>
        <w:t>Certificato di ultimazione dei lavori (ove previsto);</w:t>
      </w:r>
    </w:p>
    <w:p w:rsidR="008F49A9" w:rsidRPr="008F49A9" w:rsidRDefault="008F49A9" w:rsidP="008F49A9">
      <w:pPr>
        <w:pStyle w:val="Paragrafoelenco"/>
        <w:numPr>
          <w:ilvl w:val="0"/>
          <w:numId w:val="1"/>
        </w:numPr>
        <w:autoSpaceDE w:val="0"/>
        <w:autoSpaceDN w:val="0"/>
        <w:adjustRightInd w:val="0"/>
        <w:spacing w:after="0" w:line="240" w:lineRule="auto"/>
        <w:ind w:right="-1"/>
        <w:jc w:val="both"/>
        <w:rPr>
          <w:rFonts w:ascii="CenturyGothic" w:hAnsi="CenturyGothic" w:cs="CenturyGothic"/>
          <w:color w:val="000000"/>
          <w:sz w:val="18"/>
          <w:szCs w:val="18"/>
        </w:rPr>
      </w:pPr>
      <w:r w:rsidRPr="008F49A9">
        <w:rPr>
          <w:rFonts w:ascii="CenturyGothic" w:hAnsi="CenturyGothic" w:cs="CenturyGothic"/>
          <w:color w:val="000000"/>
          <w:sz w:val="18"/>
          <w:szCs w:val="18"/>
        </w:rPr>
        <w:t>Certificato di regolare esecuzione (ove previsto);</w:t>
      </w:r>
    </w:p>
    <w:p w:rsidR="008F49A9" w:rsidRPr="008F49A9" w:rsidRDefault="008F49A9" w:rsidP="008F49A9">
      <w:pPr>
        <w:pStyle w:val="Paragrafoelenco"/>
        <w:numPr>
          <w:ilvl w:val="0"/>
          <w:numId w:val="1"/>
        </w:numPr>
        <w:autoSpaceDE w:val="0"/>
        <w:autoSpaceDN w:val="0"/>
        <w:adjustRightInd w:val="0"/>
        <w:spacing w:after="0" w:line="240" w:lineRule="auto"/>
        <w:ind w:right="-1"/>
        <w:jc w:val="both"/>
        <w:rPr>
          <w:rFonts w:ascii="CenturyGothic" w:hAnsi="CenturyGothic" w:cs="CenturyGothic"/>
          <w:color w:val="000000"/>
          <w:sz w:val="18"/>
          <w:szCs w:val="18"/>
        </w:rPr>
      </w:pPr>
      <w:r w:rsidRPr="008F49A9">
        <w:rPr>
          <w:rFonts w:ascii="CenturyGothic" w:hAnsi="CenturyGothic" w:cs="CenturyGothic"/>
          <w:color w:val="000000"/>
          <w:sz w:val="18"/>
          <w:szCs w:val="18"/>
        </w:rPr>
        <w:t>Certificato di collaudo (ove previsto</w:t>
      </w:r>
    </w:p>
    <w:p w:rsidR="008F49A9" w:rsidRPr="008F49A9" w:rsidRDefault="008F49A9" w:rsidP="008F49A9">
      <w:pPr>
        <w:pStyle w:val="Paragrafoelenco"/>
        <w:numPr>
          <w:ilvl w:val="0"/>
          <w:numId w:val="1"/>
        </w:numPr>
        <w:autoSpaceDE w:val="0"/>
        <w:autoSpaceDN w:val="0"/>
        <w:adjustRightInd w:val="0"/>
        <w:spacing w:after="0" w:line="240" w:lineRule="auto"/>
        <w:ind w:right="-1"/>
        <w:jc w:val="both"/>
        <w:rPr>
          <w:rFonts w:ascii="CenturyGothic" w:hAnsi="CenturyGothic" w:cs="CenturyGothic"/>
          <w:color w:val="000000"/>
          <w:sz w:val="18"/>
          <w:szCs w:val="18"/>
        </w:rPr>
      </w:pPr>
      <w:r w:rsidRPr="008F49A9">
        <w:rPr>
          <w:rFonts w:ascii="CenturyGothic" w:hAnsi="CenturyGothic" w:cs="CenturyGothic"/>
          <w:color w:val="000000"/>
          <w:sz w:val="18"/>
          <w:szCs w:val="18"/>
        </w:rPr>
        <w:t>Copia delle fatture i cui originali devono riportare la seguente dicitura “spese per realizzazione progetto cofinanziato sull’Avviso Asset” (nei casi in cui sia obbligatorio l’utilizzo della fatturazione elettronica la dicitura deve essere posta nel campo causale);</w:t>
      </w:r>
    </w:p>
    <w:p w:rsidR="008F49A9" w:rsidRPr="008F49A9" w:rsidRDefault="008F49A9" w:rsidP="008F49A9">
      <w:pPr>
        <w:pStyle w:val="Paragrafoelenco"/>
        <w:numPr>
          <w:ilvl w:val="0"/>
          <w:numId w:val="1"/>
        </w:numPr>
        <w:autoSpaceDE w:val="0"/>
        <w:autoSpaceDN w:val="0"/>
        <w:adjustRightInd w:val="0"/>
        <w:spacing w:after="0" w:line="240" w:lineRule="auto"/>
        <w:ind w:right="-1"/>
        <w:jc w:val="both"/>
        <w:rPr>
          <w:rFonts w:ascii="CenturyGothic" w:hAnsi="CenturyGothic" w:cs="CenturyGothic"/>
          <w:color w:val="000000"/>
          <w:sz w:val="18"/>
          <w:szCs w:val="18"/>
        </w:rPr>
      </w:pPr>
      <w:r w:rsidRPr="008F49A9">
        <w:rPr>
          <w:rFonts w:ascii="CenturyGothic" w:hAnsi="CenturyGothic" w:cs="CenturyGothic"/>
          <w:color w:val="000000"/>
          <w:sz w:val="18"/>
          <w:szCs w:val="18"/>
        </w:rPr>
        <w:t>Documentazione bancaria (mandato di pagamento, liquidazione del tesoriere con l’indicazione della data di esecuzione) attestante il pagamento delle fatture.</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r>
        <w:rPr>
          <w:rFonts w:ascii="CenturyGothic-Bold" w:hAnsi="CenturyGothic-Bold" w:cs="CenturyGothic-Bold"/>
          <w:b/>
          <w:bCs/>
          <w:color w:val="000000"/>
          <w:sz w:val="18"/>
          <w:szCs w:val="18"/>
        </w:rPr>
        <w:t>SPESE AMMISSIBILI E GIUSTIFICATIVI</w:t>
      </w:r>
    </w:p>
    <w:p w:rsidR="008F49A9" w:rsidRPr="008F49A9" w:rsidRDefault="008F49A9" w:rsidP="008F49A9">
      <w:pPr>
        <w:autoSpaceDE w:val="0"/>
        <w:autoSpaceDN w:val="0"/>
        <w:adjustRightInd w:val="0"/>
        <w:spacing w:after="0" w:line="240" w:lineRule="auto"/>
        <w:ind w:right="-1"/>
        <w:jc w:val="both"/>
        <w:rPr>
          <w:rFonts w:ascii="CenturyGothic" w:hAnsi="CenturyGothic" w:cs="CenturyGothic"/>
          <w:b/>
          <w:color w:val="000000"/>
          <w:sz w:val="18"/>
          <w:szCs w:val="18"/>
        </w:rPr>
      </w:pPr>
      <w:r w:rsidRPr="008F49A9">
        <w:rPr>
          <w:rFonts w:ascii="CenturyGothic" w:hAnsi="CenturyGothic" w:cs="CenturyGothic"/>
          <w:b/>
          <w:color w:val="000000"/>
          <w:sz w:val="18"/>
          <w:szCs w:val="18"/>
        </w:rPr>
        <w:t>Tipologie di spesa</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 xml:space="preserve"> </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Le spese devono essere chiaramente e direttamente collegate alla realizzazione del progetto ammesso.</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Per le imprese beneficiarie del contributo regionale, in forma singola o aggregata, sono ammissibili le spese fatturate a partire dalla data del provvedimento di approvazione del progetto preliminare (29 marzo 2017) ed entro 31 ottobre 2018.</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 xml:space="preserve"> </w:t>
      </w:r>
    </w:p>
    <w:p w:rsidR="00177437" w:rsidRDefault="00177437"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Non sono ammessi pagamenti  in contanti o tramite bancomat o con assegno circolare.</w:t>
      </w:r>
    </w:p>
    <w:p w:rsidR="00177437" w:rsidRDefault="00177437" w:rsidP="008F49A9">
      <w:pPr>
        <w:autoSpaceDE w:val="0"/>
        <w:autoSpaceDN w:val="0"/>
        <w:adjustRightInd w:val="0"/>
        <w:spacing w:after="0" w:line="240" w:lineRule="auto"/>
        <w:ind w:right="-1"/>
        <w:jc w:val="both"/>
        <w:rPr>
          <w:rFonts w:ascii="CenturyGothic" w:hAnsi="CenturyGothic" w:cs="CenturyGothic"/>
          <w:color w:val="000000"/>
          <w:sz w:val="18"/>
          <w:szCs w:val="18"/>
        </w:rPr>
      </w:pP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Tutte le fatture devono essere pagate entro il termine fissato per la rendicontazione.</w:t>
      </w:r>
    </w:p>
    <w:p w:rsidR="00044A67" w:rsidRDefault="00044A67" w:rsidP="008F49A9">
      <w:pPr>
        <w:autoSpaceDE w:val="0"/>
        <w:autoSpaceDN w:val="0"/>
        <w:adjustRightInd w:val="0"/>
        <w:spacing w:after="0" w:line="240" w:lineRule="auto"/>
        <w:ind w:right="-1"/>
        <w:jc w:val="both"/>
        <w:rPr>
          <w:rFonts w:ascii="CenturyGothic" w:hAnsi="CenturyGothic" w:cs="CenturyGothic"/>
          <w:color w:val="000000"/>
          <w:sz w:val="18"/>
          <w:szCs w:val="18"/>
        </w:rPr>
      </w:pP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Non sono ammesse le fatture che, pur emesse nel periodo di ammissibilità della spesa, presentino dei pagamenti - anche parziali - effettuati in data antecedente al periodo di ammissibilità.</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L’IVA è una spesa ammissibile solo qualora non sia recuperabile. Il beneficiario dovrà rendere in tal senso una apposita dichiarazione sostitutiva nell’ambito del modulo di richiesta di erogazione del saldo.</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p>
    <w:p w:rsidR="008F49A9" w:rsidRPr="008F49A9" w:rsidRDefault="008F49A9" w:rsidP="008F49A9">
      <w:pPr>
        <w:autoSpaceDE w:val="0"/>
        <w:autoSpaceDN w:val="0"/>
        <w:adjustRightInd w:val="0"/>
        <w:spacing w:after="0" w:line="240" w:lineRule="auto"/>
        <w:ind w:right="-1"/>
        <w:jc w:val="both"/>
        <w:rPr>
          <w:rFonts w:ascii="CenturyGothic" w:hAnsi="CenturyGothic" w:cs="CenturyGothic"/>
          <w:b/>
          <w:color w:val="000000"/>
          <w:sz w:val="18"/>
          <w:szCs w:val="18"/>
        </w:rPr>
      </w:pPr>
      <w:r w:rsidRPr="008F49A9">
        <w:rPr>
          <w:rFonts w:ascii="CenturyGothic" w:hAnsi="CenturyGothic" w:cs="CenturyGothic"/>
          <w:b/>
          <w:color w:val="000000"/>
          <w:sz w:val="18"/>
          <w:szCs w:val="18"/>
        </w:rPr>
        <w:t>Giustificativi di spesa</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Le spese rendicontate devono essere corredate da idonei giustificativi di spesa, in copia semplice, quali fatture o altri documenti contabili fiscalmente validi.</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Gli originali delle fatture devono riportare la seguente dicitura “spese per realizzazione progetto cofinanziato sull’Avviso Asset” pertanto tale dicitura deve risultare anche sulla</w:t>
      </w:r>
      <w:r w:rsidR="00177437">
        <w:rPr>
          <w:rFonts w:ascii="CenturyGothic" w:hAnsi="CenturyGothic" w:cs="CenturyGothic"/>
          <w:color w:val="000000"/>
          <w:sz w:val="18"/>
          <w:szCs w:val="18"/>
        </w:rPr>
        <w:t xml:space="preserve"> </w:t>
      </w:r>
      <w:r>
        <w:rPr>
          <w:rFonts w:ascii="CenturyGothic" w:hAnsi="CenturyGothic" w:cs="CenturyGothic"/>
          <w:color w:val="000000"/>
          <w:sz w:val="18"/>
          <w:szCs w:val="18"/>
        </w:rPr>
        <w:t>copia.</w:t>
      </w:r>
    </w:p>
    <w:p w:rsidR="008F49A9" w:rsidRDefault="008F49A9" w:rsidP="008F49A9">
      <w:pPr>
        <w:autoSpaceDE w:val="0"/>
        <w:autoSpaceDN w:val="0"/>
        <w:adjustRightInd w:val="0"/>
        <w:spacing w:after="0" w:line="240" w:lineRule="auto"/>
        <w:ind w:right="-1"/>
        <w:jc w:val="both"/>
        <w:rPr>
          <w:rFonts w:ascii="CenturyGothic" w:hAnsi="CenturyGothic" w:cs="CenturyGothic"/>
          <w:color w:val="000000"/>
          <w:sz w:val="18"/>
          <w:szCs w:val="18"/>
        </w:rPr>
      </w:pPr>
      <w:r>
        <w:rPr>
          <w:rFonts w:ascii="CenturyGothic" w:hAnsi="CenturyGothic" w:cs="CenturyGothic"/>
          <w:color w:val="000000"/>
          <w:sz w:val="18"/>
          <w:szCs w:val="18"/>
        </w:rPr>
        <w:t>I pagamenti devono risultare da apposite contabili di addebito attestanti l’avvenuto</w:t>
      </w:r>
      <w:r w:rsidR="00177437">
        <w:rPr>
          <w:rFonts w:ascii="CenturyGothic" w:hAnsi="CenturyGothic" w:cs="CenturyGothic"/>
          <w:color w:val="000000"/>
          <w:sz w:val="18"/>
          <w:szCs w:val="18"/>
        </w:rPr>
        <w:t xml:space="preserve"> </w:t>
      </w:r>
      <w:r>
        <w:rPr>
          <w:rFonts w:ascii="CenturyGothic" w:hAnsi="CenturyGothic" w:cs="CenturyGothic"/>
          <w:color w:val="000000"/>
          <w:sz w:val="18"/>
          <w:szCs w:val="18"/>
        </w:rPr>
        <w:t>pagamento (atti di liquidazione del Tesoriere, estratto conto bancario ecc.)</w:t>
      </w:r>
      <w:r w:rsidR="00177437">
        <w:rPr>
          <w:rFonts w:ascii="CenturyGothic" w:hAnsi="CenturyGothic" w:cs="CenturyGothic"/>
          <w:color w:val="000000"/>
          <w:sz w:val="18"/>
          <w:szCs w:val="18"/>
        </w:rPr>
        <w:t>.</w:t>
      </w:r>
    </w:p>
    <w:p w:rsidR="00177437" w:rsidRDefault="00177437" w:rsidP="008F49A9">
      <w:pPr>
        <w:autoSpaceDE w:val="0"/>
        <w:autoSpaceDN w:val="0"/>
        <w:adjustRightInd w:val="0"/>
        <w:spacing w:after="0" w:line="240" w:lineRule="auto"/>
        <w:ind w:right="-1"/>
        <w:jc w:val="both"/>
        <w:rPr>
          <w:rFonts w:ascii="CenturyGothic" w:hAnsi="CenturyGothic" w:cs="CenturyGothic"/>
          <w:color w:val="000000"/>
          <w:sz w:val="18"/>
          <w:szCs w:val="18"/>
        </w:rPr>
      </w:pP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r>
        <w:rPr>
          <w:rFonts w:ascii="CenturyGothic-Bold" w:hAnsi="CenturyGothic-Bold" w:cs="CenturyGothic-Bold"/>
          <w:b/>
          <w:bCs/>
          <w:color w:val="000000"/>
          <w:sz w:val="18"/>
          <w:szCs w:val="18"/>
        </w:rPr>
        <w:t>Non sono ammessi i pagamenti effettuati in contanti e le compensazioni di qualsiasi genere</w:t>
      </w:r>
      <w:r w:rsidR="00177437">
        <w:rPr>
          <w:rFonts w:ascii="CenturyGothic-Bold" w:hAnsi="CenturyGothic-Bold" w:cs="CenturyGothic-Bold"/>
          <w:b/>
          <w:bCs/>
          <w:color w:val="000000"/>
          <w:sz w:val="18"/>
          <w:szCs w:val="18"/>
        </w:rPr>
        <w:t xml:space="preserve"> </w:t>
      </w:r>
      <w:r>
        <w:rPr>
          <w:rFonts w:ascii="CenturyGothic-Bold" w:hAnsi="CenturyGothic-Bold" w:cs="CenturyGothic-Bold"/>
          <w:b/>
          <w:bCs/>
          <w:color w:val="000000"/>
          <w:sz w:val="18"/>
          <w:szCs w:val="18"/>
        </w:rPr>
        <w:t>tra Soggetto Beneficiario e fornitore.</w:t>
      </w:r>
    </w:p>
    <w:p w:rsidR="00177437" w:rsidRDefault="00177437"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p>
    <w:p w:rsidR="00177437" w:rsidRDefault="00177437"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r>
        <w:rPr>
          <w:rFonts w:ascii="CenturyGothic-Bold" w:hAnsi="CenturyGothic-Bold" w:cs="CenturyGothic-Bold"/>
          <w:b/>
          <w:bCs/>
          <w:color w:val="000000"/>
          <w:sz w:val="18"/>
          <w:szCs w:val="18"/>
        </w:rPr>
        <w:t xml:space="preserve">Fonte: </w:t>
      </w:r>
    </w:p>
    <w:p w:rsidR="00177437" w:rsidRPr="00044A67" w:rsidRDefault="00177437" w:rsidP="00177437">
      <w:pPr>
        <w:autoSpaceDE w:val="0"/>
        <w:autoSpaceDN w:val="0"/>
        <w:adjustRightInd w:val="0"/>
        <w:spacing w:after="0" w:line="240" w:lineRule="auto"/>
        <w:ind w:right="-1"/>
        <w:jc w:val="both"/>
        <w:rPr>
          <w:rFonts w:ascii="CenturyGothic-Bold" w:hAnsi="CenturyGothic-Bold" w:cs="CenturyGothic-Bold"/>
          <w:bCs/>
          <w:color w:val="000000"/>
          <w:sz w:val="18"/>
          <w:szCs w:val="18"/>
        </w:rPr>
      </w:pPr>
      <w:r w:rsidRPr="00044A67">
        <w:rPr>
          <w:rFonts w:ascii="CenturyGothic-Bold" w:hAnsi="CenturyGothic-Bold" w:cs="CenturyGothic-Bold"/>
          <w:bCs/>
          <w:color w:val="000000"/>
          <w:sz w:val="18"/>
          <w:szCs w:val="18"/>
        </w:rPr>
        <w:t>BURL Serie Ordinaria n. 40 - Venerdì 06 ottobre 2017, – 84 – Bollettino Ufficiale -D.d.u.o. 4 ottobre 2017 - n. 11988</w:t>
      </w:r>
    </w:p>
    <w:p w:rsidR="00177437" w:rsidRPr="00044A67" w:rsidRDefault="00177437" w:rsidP="00177437">
      <w:pPr>
        <w:autoSpaceDE w:val="0"/>
        <w:autoSpaceDN w:val="0"/>
        <w:adjustRightInd w:val="0"/>
        <w:spacing w:after="0" w:line="240" w:lineRule="auto"/>
        <w:ind w:right="-1"/>
        <w:jc w:val="both"/>
        <w:rPr>
          <w:rFonts w:ascii="CenturyGothic-Bold" w:hAnsi="CenturyGothic-Bold" w:cs="CenturyGothic-Bold"/>
          <w:bCs/>
          <w:color w:val="000000"/>
          <w:sz w:val="18"/>
          <w:szCs w:val="18"/>
        </w:rPr>
      </w:pPr>
      <w:r w:rsidRPr="00044A67">
        <w:rPr>
          <w:rFonts w:ascii="CenturyGothic-Bold" w:hAnsi="CenturyGothic-Bold" w:cs="CenturyGothic-Bold"/>
          <w:bCs/>
          <w:color w:val="000000"/>
          <w:sz w:val="18"/>
          <w:szCs w:val="18"/>
        </w:rPr>
        <w:t xml:space="preserve">Approvazione dei progetti definitivi e dei relativi contributi assegnati a valere sull’avviso «Asset - Accordi per lo sviluppo socio economico dei territori montani», di cui al </w:t>
      </w:r>
      <w:proofErr w:type="spellStart"/>
      <w:r w:rsidRPr="00044A67">
        <w:rPr>
          <w:rFonts w:ascii="CenturyGothic-Bold" w:hAnsi="CenturyGothic-Bold" w:cs="CenturyGothic-Bold"/>
          <w:bCs/>
          <w:color w:val="000000"/>
          <w:sz w:val="18"/>
          <w:szCs w:val="18"/>
        </w:rPr>
        <w:t>d.d.u.o.</w:t>
      </w:r>
      <w:proofErr w:type="spellEnd"/>
      <w:r w:rsidRPr="00044A67">
        <w:rPr>
          <w:rFonts w:ascii="CenturyGothic-Bold" w:hAnsi="CenturyGothic-Bold" w:cs="CenturyGothic-Bold"/>
          <w:bCs/>
          <w:color w:val="000000"/>
          <w:sz w:val="18"/>
          <w:szCs w:val="18"/>
        </w:rPr>
        <w:t xml:space="preserve"> 7 ottobre 2016, n. 9852 e s.m.i. e approvazione delle linee guida per la rendicontazione e della relativa modulistica</w:t>
      </w:r>
      <w:r w:rsidR="00044A67" w:rsidRPr="00044A67">
        <w:rPr>
          <w:rFonts w:ascii="CenturyGothic-Bold" w:hAnsi="CenturyGothic-Bold" w:cs="CenturyGothic-Bold"/>
          <w:bCs/>
          <w:color w:val="000000"/>
          <w:sz w:val="18"/>
          <w:szCs w:val="18"/>
        </w:rPr>
        <w:t>.</w:t>
      </w:r>
    </w:p>
    <w:p w:rsidR="00044A67" w:rsidRDefault="00044A67" w:rsidP="00177437">
      <w:pPr>
        <w:autoSpaceDE w:val="0"/>
        <w:autoSpaceDN w:val="0"/>
        <w:adjustRightInd w:val="0"/>
        <w:spacing w:after="0" w:line="240" w:lineRule="auto"/>
        <w:ind w:right="-1"/>
        <w:jc w:val="both"/>
        <w:rPr>
          <w:rFonts w:ascii="CenturyGothic-Bold" w:hAnsi="CenturyGothic-Bold" w:cs="CenturyGothic-Bold"/>
          <w:b/>
          <w:bCs/>
          <w:color w:val="000000"/>
          <w:sz w:val="18"/>
          <w:szCs w:val="18"/>
        </w:rPr>
      </w:pP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p>
    <w:p w:rsidR="008F49A9" w:rsidRDefault="008F49A9" w:rsidP="008F49A9">
      <w:pPr>
        <w:autoSpaceDE w:val="0"/>
        <w:autoSpaceDN w:val="0"/>
        <w:adjustRightInd w:val="0"/>
        <w:spacing w:after="0" w:line="240" w:lineRule="auto"/>
        <w:ind w:right="-1"/>
        <w:jc w:val="both"/>
        <w:rPr>
          <w:rFonts w:ascii="CenturyGothic-Bold" w:hAnsi="CenturyGothic-Bold" w:cs="CenturyGothic-Bold"/>
          <w:b/>
          <w:bCs/>
          <w:color w:val="000000"/>
          <w:sz w:val="18"/>
          <w:szCs w:val="18"/>
        </w:rPr>
      </w:pPr>
    </w:p>
    <w:p w:rsidR="008F49A9" w:rsidRDefault="008F49A9" w:rsidP="008F49A9">
      <w:pPr>
        <w:autoSpaceDE w:val="0"/>
        <w:autoSpaceDN w:val="0"/>
        <w:adjustRightInd w:val="0"/>
        <w:spacing w:after="0" w:line="240" w:lineRule="auto"/>
        <w:rPr>
          <w:rFonts w:ascii="CenturyGothic-Bold" w:hAnsi="CenturyGothic-Bold" w:cs="CenturyGothic-Bold"/>
          <w:b/>
          <w:bCs/>
          <w:color w:val="000000"/>
          <w:sz w:val="18"/>
          <w:szCs w:val="18"/>
        </w:rPr>
      </w:pPr>
    </w:p>
    <w:p w:rsidR="008F49A9" w:rsidRDefault="008F49A9" w:rsidP="008F49A9">
      <w:pPr>
        <w:autoSpaceDE w:val="0"/>
        <w:autoSpaceDN w:val="0"/>
        <w:adjustRightInd w:val="0"/>
        <w:spacing w:after="0" w:line="240" w:lineRule="auto"/>
        <w:rPr>
          <w:rFonts w:ascii="CenturyGothic-Bold" w:hAnsi="CenturyGothic-Bold" w:cs="CenturyGothic-Bold"/>
          <w:b/>
          <w:bCs/>
          <w:color w:val="000000"/>
          <w:sz w:val="18"/>
          <w:szCs w:val="18"/>
        </w:rPr>
      </w:pPr>
    </w:p>
    <w:p w:rsidR="008F49A9" w:rsidRDefault="008F49A9" w:rsidP="008F49A9">
      <w:pPr>
        <w:autoSpaceDE w:val="0"/>
        <w:autoSpaceDN w:val="0"/>
        <w:adjustRightInd w:val="0"/>
        <w:spacing w:after="0" w:line="240" w:lineRule="auto"/>
        <w:rPr>
          <w:rFonts w:ascii="CenturyGothic-Bold" w:hAnsi="CenturyGothic-Bold" w:cs="CenturyGothic-Bold"/>
          <w:b/>
          <w:bCs/>
          <w:color w:val="000000"/>
          <w:sz w:val="18"/>
          <w:szCs w:val="18"/>
        </w:rPr>
      </w:pPr>
    </w:p>
    <w:p w:rsidR="008F49A9" w:rsidRDefault="008F49A9" w:rsidP="008F49A9">
      <w:pPr>
        <w:autoSpaceDE w:val="0"/>
        <w:autoSpaceDN w:val="0"/>
        <w:adjustRightInd w:val="0"/>
        <w:spacing w:after="0" w:line="240" w:lineRule="auto"/>
        <w:rPr>
          <w:rFonts w:ascii="CenturyGothic-Bold" w:hAnsi="CenturyGothic-Bold" w:cs="CenturyGothic-Bold"/>
          <w:b/>
          <w:bCs/>
          <w:color w:val="000000"/>
          <w:sz w:val="18"/>
          <w:szCs w:val="18"/>
        </w:rPr>
      </w:pPr>
    </w:p>
    <w:sectPr w:rsidR="008F49A9" w:rsidSect="004D24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437BF"/>
    <w:multiLevelType w:val="hybridMultilevel"/>
    <w:tmpl w:val="BA12B9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7E2553"/>
    <w:rsid w:val="00044A67"/>
    <w:rsid w:val="0016130C"/>
    <w:rsid w:val="00177437"/>
    <w:rsid w:val="001A3E9D"/>
    <w:rsid w:val="00307F58"/>
    <w:rsid w:val="004D2424"/>
    <w:rsid w:val="007E2553"/>
    <w:rsid w:val="008F49A9"/>
    <w:rsid w:val="00C27A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24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49A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451</Words>
  <Characters>2575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Pugliese</dc:creator>
  <cp:keywords/>
  <dc:description/>
  <cp:lastModifiedBy>concetta.pugliese</cp:lastModifiedBy>
  <cp:revision>6</cp:revision>
  <dcterms:created xsi:type="dcterms:W3CDTF">2017-11-23T14:52:00Z</dcterms:created>
  <dcterms:modified xsi:type="dcterms:W3CDTF">2018-02-28T18:33:00Z</dcterms:modified>
</cp:coreProperties>
</file>